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d462325290fca9c63ed7699d6165f4664dc935"/>
    <w:p>
      <w:pPr>
        <w:pStyle w:val="Heading1"/>
      </w:pPr>
      <w:r>
        <w:t xml:space="preserve">Forretningsplan – Fjordgata 30 Minilager &amp; Lagringstjenester</w:t>
      </w:r>
    </w:p>
    <w:p>
      <w:pPr>
        <w:pStyle w:val="FirstParagraph"/>
      </w:pPr>
      <w:r>
        <w:rPr>
          <w:b/>
          <w:bCs/>
        </w:rPr>
        <w:t xml:space="preserve">Selskap:</w:t>
      </w:r>
      <w:r>
        <w:t xml:space="preserve"> </w:t>
      </w:r>
      <w:r>
        <w:t xml:space="preserve">Fjordgata 30 AS</w:t>
      </w:r>
      <w:r>
        <w:br/>
      </w:r>
      <w:r>
        <w:rPr>
          <w:b/>
          <w:bCs/>
        </w:rPr>
        <w:t xml:space="preserve">Eiendom:</w:t>
      </w:r>
      <w:r>
        <w:t xml:space="preserve"> </w:t>
      </w:r>
      <w:r>
        <w:t xml:space="preserve">Fjordgata 30, 7010 Trondheim (gnr 401/bnr 149)</w:t>
      </w:r>
      <w:r>
        <w:br/>
      </w:r>
      <w:r>
        <w:rPr>
          <w:b/>
          <w:bCs/>
        </w:rPr>
        <w:t xml:space="preserve">Formål:</w:t>
      </w:r>
      <w:r>
        <w:t xml:space="preserve"> </w:t>
      </w:r>
      <w:r>
        <w:t xml:space="preserve">Ombygging og drift av minilager og lagringstjenester</w:t>
      </w:r>
      <w:r>
        <w:br/>
      </w:r>
      <w:r>
        <w:rPr>
          <w:b/>
          <w:bCs/>
        </w:rPr>
        <w:t xml:space="preserve">Utarbeidet:</w:t>
      </w:r>
      <w:r>
        <w:t xml:space="preserve"> </w:t>
      </w:r>
      <w:r>
        <w:t xml:space="preserve">23. juni 2026</w:t>
      </w:r>
      <w:r>
        <w:br/>
      </w:r>
      <w:r>
        <w:rPr>
          <w:b/>
          <w:bCs/>
        </w:rPr>
        <w:t xml:space="preserve">Versjon:</w:t>
      </w:r>
      <w:r>
        <w:t xml:space="preserve"> </w:t>
      </w:r>
      <w:r>
        <w:t xml:space="preserve">1.0 – til bankpresentasjon og investordialog</w:t>
      </w:r>
    </w:p>
    <w:bookmarkStart w:id="9" w:name="sammendrag"/>
    <w:p>
      <w:pPr>
        <w:pStyle w:val="Heading2"/>
      </w:pPr>
      <w:r>
        <w:t xml:space="preserve">Sammendrag</w:t>
      </w:r>
    </w:p>
    <w:p>
      <w:pPr>
        <w:pStyle w:val="FirstParagraph"/>
      </w:pPr>
      <w:r>
        <w:t xml:space="preserve">Fjordgata 30 AS rehabiliterer den historiske bryggebygningen i Fjordgata 30, Trondheim til et moderne minilager- og lagringstjenestekonsept med ca. 505 lagringsenheter, ~150 kvm krypkjeller for båtutstyr og 190 kvm kontorer – totalt ~1 420 kvm utleibart areal.</w:t>
      </w:r>
    </w:p>
    <w:p>
      <w:pPr>
        <w:pStyle w:val="BodyText"/>
      </w:pPr>
      <w:r>
        <w:t xml:space="preserve">Med en prismodell på ~3 000 kr/kvm/år (blandet gjennomsnitt for lagerareal) gir totalprosjektet anslåtte leieinntekter på 3,6–3,8 MNOK per år (stabilisert belegg 85–90 %) og et driftsresultat (EBITDA) på 1,5–2,2 MNOK. Full MVA-registrering forventes å gi tilbakegående avgiftsoppgjør på inntil 5–6 MNOK, som vesentlig forbedrer prosjektøkonomien.</w:t>
      </w:r>
    </w:p>
    <w:p>
      <w:pPr>
        <w:pStyle w:val="BodyText"/>
      </w:pPr>
      <w:r>
        <w:t xml:space="preserve">Hybridmodellen (Alternativ D i MVA-vurderingen) kombinerer selvbetjent minilager for næringskunder (frivillig MVA-registrering) med et aktivt full-service «valet storage»-tilbud (avgiftspliktig lagringstjeneste). Dette er vurdert som den beste løsningen for å oppnå MVA-fradrag i byggefasen og differensiere seg i markedet.</w:t>
      </w:r>
    </w:p>
    <w:bookmarkEnd w:id="9"/>
    <w:bookmarkStart w:id="12" w:name="selskapet-og-eiendommen"/>
    <w:p>
      <w:pPr>
        <w:pStyle w:val="Heading2"/>
      </w:pPr>
      <w:r>
        <w:t xml:space="preserve">1. Selskapet og eiendommen</w:t>
      </w:r>
    </w:p>
    <w:bookmarkStart w:id="10" w:name="fjordgata-30-as"/>
    <w:p>
      <w:pPr>
        <w:pStyle w:val="Heading3"/>
      </w:pPr>
      <w:r>
        <w:t xml:space="preserve">1.1 Fjordgata 30 AS</w:t>
      </w:r>
    </w:p>
    <w:p>
      <w:pPr>
        <w:pStyle w:val="FirstParagraph"/>
      </w:pPr>
      <w:r>
        <w:t xml:space="preserve">Fjordgata 30 AS er det planlagte drifts- og eiendomsselskapet for prosjektet, under etablering gjennom fisjon av KodeWorks Eiendom AS (org.nr. 920 478 506). Selskapet vil overta eiendommen og drive rehabilitering og minilagervirksomheten. KodeWorks Eiendom AS ervervet eiendommen i 2015 og har siden stått for utvikling og prosjektering. Overgangen til Fjordgata 30 AS skjer som del av en planlagt selskapsmessig restrukturering.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Kjøpesum 2015:</w:t>
      </w:r>
      <w:r>
        <w:t xml:space="preserve"> </w:t>
      </w:r>
      <w:r>
        <w:t xml:space="preserve">NOK 10 000 000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Eksisterende gjeld på eiendommen:</w:t>
      </w:r>
      <w:r>
        <w:t xml:space="preserve"> </w:t>
      </w:r>
      <w:r>
        <w:t xml:space="preserve">ca. 6,5 MNOK (refinansieres inn i ny konstruksjonsfinansiering)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Eiendomsdata:</w:t>
      </w:r>
      <w:r>
        <w:t xml:space="preserve"> </w:t>
      </w:r>
      <w:r>
        <w:t xml:space="preserve">GNR 401/BNR 149, Trondheim. Beregnet areal tomtegrunn 599,4 kvm.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Bygning:</w:t>
      </w:r>
      <w:r>
        <w:t xml:space="preserve"> </w:t>
      </w:r>
      <w:r>
        <w:t xml:space="preserve">5 etasjer, opprinnelig oppført 1857, med tilbygg 1904 og brannrehabilitering på 1980-tallet.</w:t>
      </w:r>
    </w:p>
    <w:bookmarkEnd w:id="10"/>
    <w:bookmarkStart w:id="11" w:name="bygningen"/>
    <w:p>
      <w:pPr>
        <w:pStyle w:val="Heading3"/>
      </w:pPr>
      <w:r>
        <w:t xml:space="preserve">1.2 Bygningen</w:t>
      </w:r>
    </w:p>
    <w:p>
      <w:pPr>
        <w:pStyle w:val="FirstParagraph"/>
      </w:pPr>
      <w:r>
        <w:t xml:space="preserve">Fjordgata 30 er en fredet/verneverdig bryggebygning i laftet trekonstruksjon med bindingsverketasjer. Bygningen har kulturminneverdi og er registrert med referanse 16011204013.</w:t>
      </w:r>
    </w:p>
    <w:p>
      <w:pPr>
        <w:pStyle w:val="BodyText"/>
      </w:pPr>
      <w:r>
        <w:rPr>
          <w:b/>
          <w:bCs/>
        </w:rPr>
        <w:t xml:space="preserve">Tidligere bruk:</w:t>
      </w:r>
    </w:p>
    <w:p>
      <w:pPr>
        <w:pStyle w:val="Compact"/>
        <w:numPr>
          <w:ilvl w:val="0"/>
          <w:numId w:val="1002"/>
        </w:numPr>
      </w:pPr>
      <w:r>
        <w:t xml:space="preserve">Fiskehandel og saltlager (1857–1993)</w:t>
      </w:r>
    </w:p>
    <w:p>
      <w:pPr>
        <w:pStyle w:val="Compact"/>
        <w:numPr>
          <w:ilvl w:val="0"/>
          <w:numId w:val="1002"/>
        </w:numPr>
      </w:pPr>
      <w:r>
        <w:t xml:space="preserve">Trondheim Båtforening (kontorer, selskapslokaler, lager – 1993–2015)</w:t>
      </w:r>
    </w:p>
    <w:p>
      <w:pPr>
        <w:pStyle w:val="Compact"/>
        <w:numPr>
          <w:ilvl w:val="0"/>
          <w:numId w:val="1002"/>
        </w:numPr>
      </w:pPr>
      <w:r>
        <w:t xml:space="preserve">KodeWorks kontorlokaler og butikker 1. etg. (2015–2025)</w:t>
      </w:r>
    </w:p>
    <w:p>
      <w:pPr>
        <w:pStyle w:val="FirstParagraph"/>
      </w:pPr>
      <w:r>
        <w:rPr>
          <w:b/>
          <w:bCs/>
        </w:rPr>
        <w:t xml:space="preserve">Status per 2026:</w:t>
      </w:r>
    </w:p>
    <w:p>
      <w:pPr>
        <w:pStyle w:val="Compact"/>
        <w:numPr>
          <w:ilvl w:val="0"/>
          <w:numId w:val="1003"/>
        </w:numPr>
      </w:pPr>
      <w:r>
        <w:t xml:space="preserve">Bryggen er i dårlig konstruktiv tilstand med råte i bærende elementer</w:t>
      </w:r>
    </w:p>
    <w:p>
      <w:pPr>
        <w:pStyle w:val="Compact"/>
        <w:numPr>
          <w:ilvl w:val="0"/>
          <w:numId w:val="1003"/>
        </w:numPr>
      </w:pPr>
      <w:r>
        <w:t xml:space="preserve">Rammesøknad om ombygging til minilager levert 12. mai 2026</w:t>
      </w:r>
    </w:p>
    <w:p>
      <w:pPr>
        <w:pStyle w:val="Compact"/>
        <w:numPr>
          <w:ilvl w:val="0"/>
          <w:numId w:val="1003"/>
        </w:numPr>
      </w:pPr>
      <w:r>
        <w:t xml:space="preserve">Intensiv rydding og forberedende arbeid pågår</w:t>
      </w:r>
    </w:p>
    <w:p>
      <w:pPr>
        <w:pStyle w:val="Compact"/>
        <w:numPr>
          <w:ilvl w:val="0"/>
          <w:numId w:val="1003"/>
        </w:numPr>
      </w:pPr>
      <w:r>
        <w:t xml:space="preserve">Tilsyn fra TBRT (brannvesen) – sprinkleranlegg og brannsikring er en del av prosjektet</w:t>
      </w:r>
    </w:p>
    <w:p>
      <w:pPr>
        <w:pStyle w:val="FirstParagraph"/>
      </w:pPr>
      <w:r>
        <w:rPr>
          <w:b/>
          <w:bCs/>
        </w:rPr>
        <w:t xml:space="preserve">Utleibare arealer (planlagt etter rehabilitering):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885"/>
        <w:gridCol w:w="3394"/>
      </w:tblGrid>
      <w:tr>
        <w:trPr>
          <w:tblHeader w:val="on"/>
        </w:trPr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Areal</w:t>
            </w:r>
          </w:p>
        </w:tc>
        <w:tc>
          <w:tcPr>
            <w:tcW w:w="1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Kvm</w:t>
            </w:r>
          </w:p>
        </w:tc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Merknad</w:t>
            </w:r>
          </w:p>
        </w:tc>
      </w:tr>
      <w:tr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Minilager (lagringsenheter)</w:t>
            </w:r>
          </w:p>
        </w:tc>
        <w:tc>
          <w:tcPr>
            <w:tcW w:w="1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1 080</w:t>
            </w:r>
          </w:p>
        </w:tc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Inkl. 505 individuelle boder og 204 kvm spesialareal med lavt tak</w:t>
            </w:r>
          </w:p>
        </w:tc>
      </w:tr>
      <w:tr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Krypkjeller – spesiallagring (kjeller)</w:t>
            </w:r>
          </w:p>
        </w:tc>
        <w:tc>
          <w:tcPr>
            <w:tcW w:w="1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~150</w:t>
            </w:r>
          </w:p>
        </w:tc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Båtutstyr, seil, padleutstyr, fiskeutstyr</w:t>
            </w:r>
          </w:p>
        </w:tc>
      </w:tr>
      <w:tr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Kontor (1.–2. etg.)</w:t>
            </w:r>
          </w:p>
        </w:tc>
        <w:tc>
          <w:tcPr>
            <w:tcW w:w="1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190</w:t>
            </w:r>
          </w:p>
        </w:tc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</w:p>
        </w:tc>
      </w:tr>
      <w:tr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Total utleibart</w:t>
            </w:r>
          </w:p>
        </w:tc>
        <w:tc>
          <w:tcPr>
            <w:tcW w:w="1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~1 420</w:t>
            </w:r>
          </w:p>
        </w:tc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</w:p>
        </w:tc>
      </w:tr>
    </w:tbl>
    <w:bookmarkEnd w:id="11"/>
    <w:bookmarkEnd w:id="12"/>
    <w:bookmarkStart w:id="16" w:name="forretningsidé-og-konsept"/>
    <w:p>
      <w:pPr>
        <w:pStyle w:val="Heading2"/>
      </w:pPr>
      <w:r>
        <w:t xml:space="preserve">2. Forretningsidé og konsept</w:t>
      </w:r>
    </w:p>
    <w:bookmarkStart w:id="13" w:name="kjernetilbud"/>
    <w:p>
      <w:pPr>
        <w:pStyle w:val="Heading3"/>
      </w:pPr>
      <w:r>
        <w:t xml:space="preserve">2.1 Kjernetilbud</w:t>
      </w:r>
    </w:p>
    <w:p>
      <w:pPr>
        <w:pStyle w:val="FirstParagraph"/>
      </w:pPr>
      <w:r>
        <w:t xml:space="preserve">FG30 tilbyr tre komplementære tjenester:</w:t>
      </w:r>
    </w:p>
    <w:p>
      <w:pPr>
        <w:pStyle w:val="BodyText"/>
      </w:pPr>
      <w:r>
        <w:rPr>
          <w:b/>
          <w:bCs/>
        </w:rPr>
        <w:t xml:space="preserve">A) Minilager Selvbetjent (B2B)</w:t>
      </w:r>
    </w:p>
    <w:p>
      <w:pPr>
        <w:pStyle w:val="BodyText"/>
      </w:pPr>
      <w:r>
        <w:t xml:space="preserve">Tradisjonelle lagerenheter for næringslivet. Kunden har eksklusiv tilgang til sin bod med nøkkelkort. Fakturering med 25 % MVA via frivillig MVA-registrering. Målgruppe: Bedrifter med behov for arkivlagring, varelager, sesongvarer, utstyr.</w:t>
      </w:r>
    </w:p>
    <w:p>
      <w:pPr>
        <w:pStyle w:val="BodyText"/>
      </w:pPr>
      <w:r>
        <w:rPr>
          <w:b/>
          <w:bCs/>
        </w:rPr>
        <w:t xml:space="preserve">B) FG30 Full-Service Lagring («Valet Storage»)</w:t>
      </w:r>
    </w:p>
    <w:p>
      <w:pPr>
        <w:pStyle w:val="BodyText"/>
      </w:pPr>
      <w:r>
        <w:t xml:space="preserve">En aktiv oppbevaring- og logistikktjeneste der FG30 håndterer inn- og ut-logistikk. Kunden bestiller via nettportal eller app:</w:t>
      </w:r>
    </w:p>
    <w:p>
      <w:pPr>
        <w:pStyle w:val="Compact"/>
        <w:numPr>
          <w:ilvl w:val="0"/>
          <w:numId w:val="1004"/>
        </w:numPr>
      </w:pPr>
      <w:r>
        <w:t xml:space="preserve">Vi henter gjenstander hjemme (Trondheim, maks 10–15 km radius)</w:t>
      </w:r>
    </w:p>
    <w:p>
      <w:pPr>
        <w:pStyle w:val="Compact"/>
        <w:numPr>
          <w:ilvl w:val="0"/>
          <w:numId w:val="1004"/>
        </w:numPr>
      </w:pPr>
      <w:r>
        <w:t xml:space="preserve">Vi fotograferer, barcode-merker og katalogiserer alt digitalt</w:t>
      </w:r>
    </w:p>
    <w:p>
      <w:pPr>
        <w:pStyle w:val="Compact"/>
        <w:numPr>
          <w:ilvl w:val="0"/>
          <w:numId w:val="1004"/>
        </w:numPr>
      </w:pPr>
      <w:r>
        <w:t xml:space="preserve">Kunden ser full lagerliste med bilder i kundeportalen</w:t>
      </w:r>
    </w:p>
    <w:p>
      <w:pPr>
        <w:pStyle w:val="Compact"/>
        <w:numPr>
          <w:ilvl w:val="0"/>
          <w:numId w:val="1004"/>
        </w:numPr>
      </w:pPr>
      <w:r>
        <w:t xml:space="preserve">Kunden bestiller enkeltgjenstander tilbake – vi leverer innen 24–48 timer</w:t>
      </w:r>
    </w:p>
    <w:p>
      <w:pPr>
        <w:pStyle w:val="Compact"/>
        <w:numPr>
          <w:ilvl w:val="0"/>
          <w:numId w:val="1004"/>
        </w:numPr>
      </w:pPr>
      <w:r>
        <w:t xml:space="preserve">Forsikring inkludert</w:t>
      </w:r>
    </w:p>
    <w:p>
      <w:pPr>
        <w:pStyle w:val="FirstParagraph"/>
      </w:pPr>
      <w:r>
        <w:t xml:space="preserve">Målgruppe: Privatpersoner og bedrifter som vil ha convenience uten å leie bil og frakte selv. Studenter, expats, byboere uten bil, bedrifter med sporadisk lagerbehov.</w:t>
      </w:r>
    </w:p>
    <w:p>
      <w:pPr>
        <w:pStyle w:val="BodyText"/>
      </w:pPr>
      <w:r>
        <w:rPr>
          <w:b/>
          <w:bCs/>
        </w:rPr>
        <w:t xml:space="preserve">C) Kontorlokaler (190 kvm)</w:t>
      </w:r>
    </w:p>
    <w:p>
      <w:pPr>
        <w:pStyle w:val="BodyText"/>
      </w:pPr>
      <w:r>
        <w:t xml:space="preserve">Moderne kontorarealer i rehabilitert historisk bygg, sentralt i Trondheim. Leies til næringsdrivende med MVA.</w:t>
      </w:r>
    </w:p>
    <w:bookmarkEnd w:id="13"/>
    <w:bookmarkStart w:id="14" w:name="X9d2a01ff9ccdcbf4aa141569eb7642f10385eff"/>
    <w:p>
      <w:pPr>
        <w:pStyle w:val="Heading3"/>
      </w:pPr>
      <w:r>
        <w:t xml:space="preserve">2.2 MVA-strategi og valg av forretningsmodell</w:t>
      </w:r>
    </w:p>
    <w:p>
      <w:pPr>
        <w:pStyle w:val="FirstParagraph"/>
      </w:pPr>
      <w:r>
        <w:rPr>
          <w:b/>
          <w:bCs/>
        </w:rPr>
        <w:t xml:space="preserve">Bakgrunn:</w:t>
      </w:r>
      <w:r>
        <w:t xml:space="preserve"> </w:t>
      </w:r>
      <w:r>
        <w:t xml:space="preserve">Passiv selvbetjent minilager-utleie er MVA-unntatt etter mval. § 3-11 første ledd. Dette gir ingen fradragsrett for inngående MVA på bygge- og rehabiliteringskostnader. Med estimerte byggekostnader på 30 MNOK (eks. MVA) utgjør tapet av MVA-fradrag ca. 7,5 MNOK.</w:t>
      </w:r>
    </w:p>
    <w:p>
      <w:pPr>
        <w:pStyle w:val="BodyText"/>
      </w:pPr>
      <w:r>
        <w:rPr>
          <w:b/>
          <w:bCs/>
        </w:rPr>
        <w:t xml:space="preserve">Valgt strategi – Alternativ D (Hybridmodell):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233"/>
        <w:gridCol w:w="3858"/>
      </w:tblGrid>
      <w:tr>
        <w:trPr>
          <w:tblHeader w:val="on"/>
        </w:trPr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Segment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MVA-modell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Juridisk grunnlag</w:t>
            </w:r>
          </w:p>
        </w:tc>
      </w:tr>
      <w:tr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Kontor (190 kvm)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Frivillig reg., 25 % MVA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mval. § 2-3</w:t>
            </w:r>
          </w:p>
        </w:tc>
      </w:tr>
      <w:tr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B2B lagerboder (30 % av enheter)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Frivillig reg., 25 % MVA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mval. § 2-3</w:t>
            </w:r>
          </w:p>
        </w:tc>
      </w:tr>
      <w:tr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Full-service (70 % av enheter)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Avgiftspliktig lagringstjeneste, 25 % MVA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mval. § 3-1 – aktiv tjeneste faller utenfor § 3-11 eiendomsunntaket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Forventet MVA-dekning i byggefasen: 90–100 %.</w:t>
      </w:r>
      <w:r>
        <w:t xml:space="preserve"> </w:t>
      </w:r>
      <w:r>
        <w:t xml:space="preserve">Estimert fradrag: 5,0–6,3 MNOK (ved 25 MNOK byggekostnad ekskl. MVA).</w:t>
      </w:r>
    </w:p>
    <w:p>
      <w:pPr>
        <w:pStyle w:val="BodyText"/>
      </w:pPr>
      <w:r>
        <w:rPr>
          <w:i/>
          <w:iCs/>
        </w:rPr>
        <w:t xml:space="preserve">Merk: Full-service-tieret krever BFU (bindende forhåndsuttalelse) fra Skatteetaten for å sikre klassifisering som avgiftspliktig lagringstjeneste. Dette er planlagt som eget prosjektsteg (se Fremdriftsplan).</w:t>
      </w:r>
    </w:p>
    <w:bookmarkEnd w:id="14"/>
    <w:bookmarkStart w:id="15" w:name="X950b523f6172359c1dbf9df97c522e8a6fb131e"/>
    <w:p>
      <w:pPr>
        <w:pStyle w:val="Heading3"/>
      </w:pPr>
      <w:r>
        <w:t xml:space="preserve">2.3 «Minilager as a Service» – Differensieringsplattform</w:t>
      </w:r>
    </w:p>
    <w:p>
      <w:pPr>
        <w:pStyle w:val="FirstParagraph"/>
      </w:pPr>
      <w:r>
        <w:t xml:space="preserve">FG30 bygger en digital plattform som understøtter full-service modellen og differensierer fra konkurrenter:</w:t>
      </w:r>
    </w:p>
    <w:p>
      <w:pPr>
        <w:pStyle w:val="BodyText"/>
      </w:pPr>
      <w:r>
        <w:rPr>
          <w:b/>
          <w:bCs/>
        </w:rPr>
        <w:t xml:space="preserve">Teknologikomponenter:</w:t>
      </w:r>
    </w:p>
    <w:p>
      <w:pPr>
        <w:pStyle w:val="Compact"/>
        <w:numPr>
          <w:ilvl w:val="0"/>
          <w:numId w:val="1005"/>
        </w:numPr>
      </w:pPr>
      <w:r>
        <w:t xml:space="preserve">Kundeportal (web + mobil): Lagerliste med bilder, bestilling av henting/levering, faktura</w:t>
      </w:r>
    </w:p>
    <w:p>
      <w:pPr>
        <w:pStyle w:val="Compact"/>
        <w:numPr>
          <w:ilvl w:val="0"/>
          <w:numId w:val="1005"/>
        </w:numPr>
      </w:pPr>
      <w:r>
        <w:t xml:space="preserve">Digital tilgangskontroll (nøkkelkort/app) for selvbetjente kunder</w:t>
      </w:r>
    </w:p>
    <w:p>
      <w:pPr>
        <w:pStyle w:val="Compact"/>
        <w:numPr>
          <w:ilvl w:val="0"/>
          <w:numId w:val="1005"/>
        </w:numPr>
      </w:pPr>
      <w:r>
        <w:t xml:space="preserve">Barcode/QR-merking av alle innlagte gjenstander</w:t>
      </w:r>
    </w:p>
    <w:p>
      <w:pPr>
        <w:pStyle w:val="Compact"/>
        <w:numPr>
          <w:ilvl w:val="0"/>
          <w:numId w:val="1005"/>
        </w:numPr>
      </w:pPr>
      <w:r>
        <w:t xml:space="preserve">Bilderegistrering ved inntak (dokumentasjon, forsikring)</w:t>
      </w:r>
    </w:p>
    <w:p>
      <w:pPr>
        <w:pStyle w:val="Compact"/>
        <w:numPr>
          <w:ilvl w:val="0"/>
          <w:numId w:val="1005"/>
        </w:numPr>
      </w:pPr>
      <w:r>
        <w:t xml:space="preserve">Automatisk fakturering og betalingsbehandling</w:t>
      </w:r>
    </w:p>
    <w:p>
      <w:pPr>
        <w:pStyle w:val="Compact"/>
        <w:numPr>
          <w:ilvl w:val="0"/>
          <w:numId w:val="1005"/>
        </w:numPr>
      </w:pPr>
      <w:r>
        <w:t xml:space="preserve">Varsling (SMS/e-post) ved endringer</w:t>
      </w:r>
    </w:p>
    <w:p>
      <w:pPr>
        <w:pStyle w:val="FirstParagraph"/>
      </w:pPr>
      <w:r>
        <w:rPr>
          <w:b/>
          <w:bCs/>
        </w:rPr>
        <w:t xml:space="preserve">Logistikkomponenter:</w:t>
      </w:r>
    </w:p>
    <w:p>
      <w:pPr>
        <w:pStyle w:val="Compact"/>
        <w:numPr>
          <w:ilvl w:val="0"/>
          <w:numId w:val="1006"/>
        </w:numPr>
      </w:pPr>
      <w:r>
        <w:t xml:space="preserve">Dedikert varebil (FG30-merket) for Trondheim og omegn</w:t>
      </w:r>
    </w:p>
    <w:p>
      <w:pPr>
        <w:pStyle w:val="Compact"/>
        <w:numPr>
          <w:ilvl w:val="0"/>
          <w:numId w:val="1006"/>
        </w:numPr>
      </w:pPr>
      <w:r>
        <w:t xml:space="preserve">To hentevinduer per dag (f.eks. 09–12 og 14–17)</w:t>
      </w:r>
    </w:p>
    <w:p>
      <w:pPr>
        <w:pStyle w:val="Compact"/>
        <w:numPr>
          <w:ilvl w:val="0"/>
          <w:numId w:val="1006"/>
        </w:numPr>
      </w:pPr>
      <w:r>
        <w:t xml:space="preserve">Partnerskap med lokal flyttebyrå for større oppdrag</w:t>
      </w:r>
    </w:p>
    <w:p>
      <w:pPr>
        <w:pStyle w:val="Compact"/>
        <w:numPr>
          <w:ilvl w:val="0"/>
          <w:numId w:val="1006"/>
        </w:numPr>
      </w:pPr>
      <w:r>
        <w:t xml:space="preserve">Emballasje leveres til kunde ved henting (esker, tape, boblefolie)</w:t>
      </w:r>
    </w:p>
    <w:p>
      <w:pPr>
        <w:pStyle w:val="FirstParagraph"/>
      </w:pPr>
      <w:r>
        <w:rPr>
          <w:b/>
          <w:bCs/>
        </w:rPr>
        <w:t xml:space="preserve">Tjenestekomponenter utover selve lagringen:</w:t>
      </w:r>
    </w:p>
    <w:p>
      <w:pPr>
        <w:pStyle w:val="Compact"/>
        <w:numPr>
          <w:ilvl w:val="0"/>
          <w:numId w:val="1007"/>
        </w:numPr>
      </w:pPr>
      <w:r>
        <w:t xml:space="preserve">Lagerforsikring (innboklausul for lagrede gjenstander)</w:t>
      </w:r>
    </w:p>
    <w:p>
      <w:pPr>
        <w:pStyle w:val="Compact"/>
        <w:numPr>
          <w:ilvl w:val="0"/>
          <w:numId w:val="1007"/>
        </w:numPr>
      </w:pPr>
      <w:r>
        <w:t xml:space="preserve">«White glove»-pakke: Vi pakker for kunden ved innhenting</w:t>
      </w:r>
    </w:p>
    <w:p>
      <w:pPr>
        <w:pStyle w:val="Compact"/>
        <w:numPr>
          <w:ilvl w:val="0"/>
          <w:numId w:val="1007"/>
        </w:numPr>
      </w:pPr>
      <w:r>
        <w:t xml:space="preserve">Sykkel-/sparkesykkellagring (sesong)</w:t>
      </w:r>
    </w:p>
    <w:p>
      <w:pPr>
        <w:pStyle w:val="Compact"/>
        <w:numPr>
          <w:ilvl w:val="0"/>
          <w:numId w:val="1007"/>
        </w:numPr>
      </w:pPr>
      <w:r>
        <w:t xml:space="preserve">Bedriftspakke: Arkivlagring med utvidet uttaks-SLA</w:t>
      </w:r>
    </w:p>
    <w:bookmarkEnd w:id="15"/>
    <w:bookmarkEnd w:id="16"/>
    <w:bookmarkStart w:id="20" w:name="markedsanalyse"/>
    <w:p>
      <w:pPr>
        <w:pStyle w:val="Heading2"/>
      </w:pPr>
      <w:r>
        <w:t xml:space="preserve">3. Markedsanalyse</w:t>
      </w:r>
    </w:p>
    <w:bookmarkStart w:id="17" w:name="norsk-selvlager-marked"/>
    <w:p>
      <w:pPr>
        <w:pStyle w:val="Heading3"/>
      </w:pPr>
      <w:r>
        <w:t xml:space="preserve">3.1 Norsk selvlager-marked</w:t>
      </w:r>
    </w:p>
    <w:p>
      <w:pPr>
        <w:pStyle w:val="FirstParagraph"/>
      </w:pPr>
      <w:r>
        <w:t xml:space="preserve">Det norske minilager-markedet er i sterk vekst:</w:t>
      </w:r>
    </w:p>
    <w:p>
      <w:pPr>
        <w:pStyle w:val="Compact"/>
        <w:numPr>
          <w:ilvl w:val="0"/>
          <w:numId w:val="1008"/>
        </w:numPr>
      </w:pPr>
      <w:r>
        <w:t xml:space="preserve">Skandinavia: ~920 anlegg, CAGR 7,19 % (2025–2030)</w:t>
      </w:r>
    </w:p>
    <w:p>
      <w:pPr>
        <w:pStyle w:val="Compact"/>
        <w:numPr>
          <w:ilvl w:val="0"/>
          <w:numId w:val="1008"/>
        </w:numPr>
      </w:pPr>
      <w:r>
        <w:t xml:space="preserve">Norsk prisindeks: €201/kvm/år (2024), vekst +5,4 % YoY</w:t>
      </w:r>
    </w:p>
    <w:p>
      <w:pPr>
        <w:pStyle w:val="Compact"/>
        <w:numPr>
          <w:ilvl w:val="0"/>
          <w:numId w:val="1008"/>
        </w:numPr>
      </w:pPr>
      <w:r>
        <w:t xml:space="preserve">Norge vurdert som understudert vs. UK/USA</w:t>
      </w:r>
    </w:p>
    <w:p>
      <w:pPr>
        <w:pStyle w:val="Compact"/>
        <w:numPr>
          <w:ilvl w:val="0"/>
          <w:numId w:val="1008"/>
        </w:numPr>
      </w:pPr>
      <w:r>
        <w:t xml:space="preserve">Trondheim: Vekstmarked med begrenset tilbud i bysentrum</w:t>
      </w:r>
    </w:p>
    <w:bookmarkEnd w:id="17"/>
    <w:bookmarkStart w:id="18" w:name="trondheim-konkurransekart"/>
    <w:p>
      <w:pPr>
        <w:pStyle w:val="Heading3"/>
      </w:pPr>
      <w:r>
        <w:t xml:space="preserve">3.2 Trondheim – Konkurransekart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33"/>
        <w:gridCol w:w="2190"/>
        <w:gridCol w:w="2696"/>
      </w:tblGrid>
      <w:tr>
        <w:trPr>
          <w:tblHeader w:val="on"/>
        </w:trP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Aktør (lokasjon)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Pris/kvm/mnd</w:t>
            </w:r>
          </w:p>
        </w:tc>
        <w:tc>
          <w:tcPr>
            <w:tcW w:w="3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Differensiator</w:t>
            </w:r>
          </w:p>
        </w:tc>
      </w:tr>
      <w:t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Trondheim Minilager (Ranheim)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~100–120 kr</w:t>
            </w:r>
          </w:p>
        </w:tc>
        <w:tc>
          <w:tcPr>
            <w:tcW w:w="3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Størst; periferi</w:t>
            </w:r>
          </w:p>
        </w:tc>
      </w:tr>
      <w:t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Green Storage (Lade, Tiller, Fossegrenda)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~120–140 kr</w:t>
            </w:r>
          </w:p>
        </w:tc>
        <w:tc>
          <w:tcPr>
            <w:tcW w:w="3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Kjede; klimastyrt</w:t>
            </w:r>
          </w:p>
        </w:tc>
      </w:tr>
      <w:t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Minilager1 (Ranheim)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93–147 kr</w:t>
            </w:r>
          </w:p>
        </w:tc>
        <w:tc>
          <w:tcPr>
            <w:tcW w:w="3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Billigst; periferi</w:t>
            </w:r>
          </w:p>
        </w:tc>
      </w:tr>
      <w:t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ESP Lager (Sør/omegn)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112–135 kr</w:t>
            </w:r>
          </w:p>
        </w:tc>
        <w:tc>
          <w:tcPr>
            <w:tcW w:w="3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Regional</w:t>
            </w:r>
          </w:p>
        </w:tc>
      </w:tr>
      <w:t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123 Minilager (Solsiden)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tcW w:w="3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Sentral; kontainer</w:t>
            </w:r>
          </w:p>
        </w:tc>
      </w:tr>
      <w:t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Utleiebod (Kobbes gate)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~120–150 kr</w:t>
            </w:r>
          </w:p>
        </w:tc>
        <w:tc>
          <w:tcPr>
            <w:tcW w:w="3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Nær sentrum; 3m høyde</w:t>
            </w:r>
          </w:p>
        </w:tc>
      </w:tr>
      <w:tr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Fjordgata 30 (Sentrum/Bryggen)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220–265 kr</w:t>
            </w:r>
          </w:p>
        </w:tc>
        <w:tc>
          <w:tcPr>
            <w:tcW w:w="3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Full-service; historisk</w:t>
            </w:r>
          </w:p>
        </w:tc>
      </w:tr>
    </w:tbl>
    <w:p>
      <w:pPr>
        <w:pStyle w:val="BodyText"/>
      </w:pPr>
      <w:r>
        <w:rPr>
          <w:b/>
          <w:bCs/>
        </w:rPr>
        <w:t xml:space="preserve">FG30s konkurransefordeler: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Sentralitet:</w:t>
      </w:r>
      <w:r>
        <w:t xml:space="preserve"> </w:t>
      </w:r>
      <w:r>
        <w:t xml:space="preserve">FG30 er ~0,5 km fra Torget – gangavstand for sentrumsbeboere. Alle konkurrenter unntatt Utleiebod er i periferi og krever bil. Sentralitet rettferdiggjør 20–35 % premiumprising (Stortrack 2025).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Nidelven-inngang:</w:t>
      </w:r>
      <w:r>
        <w:t xml:space="preserve"> </w:t>
      </w:r>
      <w:r>
        <w:t xml:space="preserve">FG30 er eneste brygge i Trondheim med direkte tilgang fra Nidelven. Unikt segment: båteiere og padlere langs elva har 0 lagringsplass i dag. Fortrinnsforespørsler allerede mottatt.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Full-service:</w:t>
      </w:r>
      <w:r>
        <w:t xml:space="preserve"> </w:t>
      </w:r>
      <w:r>
        <w:t xml:space="preserve">Ingen konkurrent i Trondheim tilbyr henting og levering.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Nærvær av nybygg:</w:t>
      </w:r>
      <w:r>
        <w:t xml:space="preserve"> </w:t>
      </w:r>
      <w:r>
        <w:t xml:space="preserve">Hundrevis av nye leiligheter med minimalt lagerareal er under ferdigstillelse innen 250–350 m fra FG30 (Nye Trondheim S og Nyhavna).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Lastesone:</w:t>
      </w:r>
      <w:r>
        <w:t xml:space="preserve"> </w:t>
      </w:r>
      <w:r>
        <w:t xml:space="preserve">Dedikert laste-/lossesone på Bryggen utenfor bygget – en praktisk fordel konkurrenter mangler.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Spesialareal:</w:t>
      </w:r>
      <w:r>
        <w:t xml:space="preserve"> </w:t>
      </w:r>
      <w:r>
        <w:t xml:space="preserve">204 kvm lavt-tak-areal egner seg for kajakker, sykler, ski, sparkesykler – et nisjesegment ingen konkurrenter dekker sentralt.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Historisk identitet:</w:t>
      </w:r>
      <w:r>
        <w:t xml:space="preserve"> </w:t>
      </w:r>
      <w:r>
        <w:t xml:space="preserve">Bryggebygning fra 1857 – unik merkevare med kulturminnestatus.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Kapasitet:</w:t>
      </w:r>
      <w:r>
        <w:t xml:space="preserve"> </w:t>
      </w:r>
      <w:r>
        <w:t xml:space="preserve">505 enheter – en av Trondheims største.</w:t>
      </w:r>
    </w:p>
    <w:bookmarkEnd w:id="18"/>
    <w:bookmarkStart w:id="19" w:name="målgrupper"/>
    <w:p>
      <w:pPr>
        <w:pStyle w:val="Heading3"/>
      </w:pPr>
      <w:r>
        <w:t xml:space="preserve">3.3 Målgrupper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911"/>
        <w:gridCol w:w="3550"/>
      </w:tblGrid>
      <w:tr>
        <w:trPr>
          <w:tblHeader w:val="on"/>
        </w:trP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Segment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Behov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FG30-tilbud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Byboere (sentrum, Møllenberg, Nedre Elvehavn)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Ekstralagring, sesongvarer, uten bil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Full-service; sentralt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Studenter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Sommerlagring, flytte-hjelp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Full-service; lav startpris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Expats/tilreisende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Midlertidig lagring, logistikk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Full-service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Bedrifter (arkivering)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Dokumentlagring, overskuddsmateriell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B2B; MVA; faktura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Bedrifter (varelager)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Lager for e-handels-SMB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B2B; 3PL-lett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Håndverkere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Verktøy, materiell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Selvbetjent B2B</w:t>
            </w:r>
          </w:p>
        </w:tc>
      </w:tr>
    </w:tbl>
    <w:bookmarkEnd w:id="19"/>
    <w:bookmarkEnd w:id="20"/>
    <w:bookmarkStart w:id="24" w:name="inntektsmodell-og-prising"/>
    <w:p>
      <w:pPr>
        <w:pStyle w:val="Heading2"/>
      </w:pPr>
      <w:r>
        <w:t xml:space="preserve">4. Inntektsmodell og prising</w:t>
      </w:r>
    </w:p>
    <w:bookmarkStart w:id="21" w:name="lagerenheter"/>
    <w:p>
      <w:pPr>
        <w:pStyle w:val="Heading3"/>
      </w:pPr>
      <w:r>
        <w:t xml:space="preserve">4.1 Lagerenheter</w:t>
      </w:r>
    </w:p>
    <w:p>
      <w:pPr>
        <w:pStyle w:val="FirstParagraph"/>
      </w:pPr>
      <w:r>
        <w:t xml:space="preserve">Arealkartleggingen viser 505 individuelle lagringsenheter fordelt over kjeller og 1.–5. etasje, samt ett udelt spesialareal på 204 kvm i 1. etasje med lavere takhøyde.</w:t>
      </w:r>
    </w:p>
    <w:p>
      <w:pPr>
        <w:pStyle w:val="BodyText"/>
      </w:pPr>
      <w:r>
        <w:t xml:space="preserve">Prismål:</w:t>
      </w:r>
    </w:p>
    <w:p>
      <w:pPr>
        <w:pStyle w:val="Compact"/>
        <w:numPr>
          <w:ilvl w:val="0"/>
          <w:numId w:val="1010"/>
        </w:numPr>
      </w:pPr>
      <w:r>
        <w:t xml:space="preserve">Selvbetjent: 220 kr/kvm/mnd (2 640 kr/kvm/år)</w:t>
      </w:r>
    </w:p>
    <w:p>
      <w:pPr>
        <w:pStyle w:val="Compact"/>
        <w:numPr>
          <w:ilvl w:val="0"/>
          <w:numId w:val="1010"/>
        </w:numPr>
      </w:pPr>
      <w:r>
        <w:t xml:space="preserve">Full-service: 265 kr/kvm/mnd (3 180 kr/kvm/år)</w:t>
      </w:r>
    </w:p>
    <w:p>
      <w:pPr>
        <w:pStyle w:val="Compact"/>
        <w:numPr>
          <w:ilvl w:val="0"/>
          <w:numId w:val="1010"/>
        </w:numPr>
      </w:pPr>
      <w:r>
        <w:t xml:space="preserve">Blandet gjennomsnitt (30/70-fordeling):</w:t>
      </w:r>
      <w:r>
        <w:t xml:space="preserve"> </w:t>
      </w:r>
      <w:r>
        <w:rPr>
          <w:b/>
          <w:bCs/>
        </w:rPr>
        <w:t xml:space="preserve">~3 000 kr/kvm/år</w:t>
      </w:r>
    </w:p>
    <w:p>
      <w:pPr>
        <w:pStyle w:val="FirstParagraph"/>
      </w:pPr>
      <w:r>
        <w:t xml:space="preserve">Prisnivået er premium ift. perifere konkurrenter (120–150 kr/kvm/mnd) og understøttes av sentral beliggenhet, full-service og historisk merkevare. Norsk gjennomsnitt i 2024 var €201/kvm/år (~2 300 NOK, kilde: Stortrack 2025); Trondheim sentrum med full-service bør ligge 30–35 % over dette.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8"/>
        <w:gridCol w:w="1038"/>
        <w:gridCol w:w="2726"/>
        <w:gridCol w:w="2856"/>
      </w:tblGrid>
      <w:tr>
        <w:trPr>
          <w:tblHeader w:val="on"/>
        </w:trP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Kategori</w:t>
            </w:r>
          </w:p>
        </w:tc>
        <w:tc>
          <w:tcPr>
            <w:tcW w:w="1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Antall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Selvbetjent (kr/mnd)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Full-service (kr/mnd)</w:t>
            </w:r>
          </w:p>
        </w:tc>
      </w:tr>
      <w:t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Micro (~1,7 kvm)</w:t>
            </w:r>
          </w:p>
        </w:tc>
        <w:tc>
          <w:tcPr>
            <w:tcW w:w="1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~374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~451</w:t>
            </w:r>
          </w:p>
        </w:tc>
      </w:tr>
      <w:t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Standard (~2,1 kvm)</w:t>
            </w:r>
          </w:p>
        </w:tc>
        <w:tc>
          <w:tcPr>
            <w:tcW w:w="1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432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~451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~543</w:t>
            </w:r>
          </w:p>
        </w:tc>
      </w:tr>
      <w:t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Medium+ (~2,9 kvm)</w:t>
            </w:r>
          </w:p>
        </w:tc>
        <w:tc>
          <w:tcPr>
            <w:tcW w:w="1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51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~638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~769</w:t>
            </w:r>
          </w:p>
        </w:tc>
      </w:tr>
      <w:t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Spesialareal lavt tak (204 kvm)</w:t>
            </w:r>
          </w:p>
        </w:tc>
        <w:tc>
          <w:tcPr>
            <w:tcW w:w="1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 sone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sesongpris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Sum individuelle boder</w:t>
            </w:r>
          </w:p>
        </w:tc>
        <w:tc>
          <w:tcPr>
            <w:tcW w:w="1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505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220 kr/kvm/mnd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265 kr/kvm/mnd</w:t>
            </w:r>
          </w:p>
        </w:tc>
      </w:tr>
    </w:tbl>
    <w:p>
      <w:pPr>
        <w:pStyle w:val="BodyText"/>
      </w:pPr>
      <w:r>
        <w:rPr>
          <w:i/>
          <w:iCs/>
        </w:rPr>
        <w:t xml:space="preserve">Oversikten kan justeres i IG-fasen.</w:t>
      </w:r>
    </w:p>
    <w:p>
      <w:pPr>
        <w:pStyle w:val="BodyText"/>
      </w:pPr>
      <w:r>
        <w:rPr>
          <w:b/>
          <w:bCs/>
        </w:rPr>
        <w:t xml:space="preserve">Spesialareal – 204 kvm med lavt tak (1. etasje):</w:t>
      </w:r>
    </w:p>
    <w:p>
      <w:pPr>
        <w:pStyle w:val="BodyText"/>
      </w:pPr>
      <w:r>
        <w:t xml:space="preserve">Dette arealet er ikke oppdelt i individuelle boder. Det egner seg for gjenstander med lav høyde og sesongmessig lagringsbehov: kajakker, kanoer, sykler, sparkesykler, ski og surfeutstyr.</w:t>
      </w:r>
    </w:p>
    <w:p>
      <w:pPr>
        <w:pStyle w:val="BodyText"/>
      </w:pPr>
      <w:r>
        <w:t xml:space="preserve">Prisnivå anslås til 50–80 kr/kvm/mnd (sesong) eller fastpris per gjenstand (f.eks. 300–500 kr/mnd for kajakk). Potensielt tillegg: 100 000–200 000 kr/år ved 60 % belegg. Inntekten er inkludert i tilleggstjenester-posten i inntektsmodellen.</w:t>
      </w:r>
    </w:p>
    <w:p>
      <w:pPr>
        <w:pStyle w:val="BodyText"/>
      </w:pPr>
      <w:r>
        <w:rPr>
          <w:b/>
          <w:bCs/>
        </w:rPr>
        <w:t xml:space="preserve">Krypkjeller – ~150 kvm (kjeller):</w:t>
      </w:r>
    </w:p>
    <w:p>
      <w:pPr>
        <w:pStyle w:val="BodyText"/>
      </w:pPr>
      <w:r>
        <w:t xml:space="preserve">Krypkjelleren er et lagareal egnet for bulklagring av båtfolks utstyr: kajakker, kanoer, seil, fiskeutstyr, padleutstyr, ankre, fortøyningsutstyr m.m. FG30 er eneste lagertilbyder i Trondheim med direkte nidelvtilknytning – krypkjelleren er derfor et unikt og svært relevant tilbud for det store båt- og padlemiljøet langs Nidelven og Trondheim Havn.</w:t>
      </w:r>
    </w:p>
    <w:p>
      <w:pPr>
        <w:pStyle w:val="BodyText"/>
      </w:pPr>
      <w:r>
        <w:t xml:space="preserve">Prisnivå:</w:t>
      </w:r>
      <w:r>
        <w:t xml:space="preserve"> </w:t>
      </w:r>
      <w:r>
        <w:rPr>
          <w:b/>
          <w:bCs/>
        </w:rPr>
        <w:t xml:space="preserve">210 kr/kvm/mnd</w:t>
      </w:r>
      <w:r>
        <w:t xml:space="preserve"> </w:t>
      </w:r>
      <w:r>
        <w:t xml:space="preserve">(2 520 kr/kvm/år) – motivert av høy betalingsvillighet blant båteiere og mangelen på konkurrerende alternativ. Arealet leies ut som allokerte soner med nøkkelkortadgang til kjelleren.</w:t>
      </w:r>
    </w:p>
    <w:p>
      <w:pPr>
        <w:pStyle w:val="BodyText"/>
      </w:pPr>
      <w:r>
        <w:t xml:space="preserve">Sesongspik forventes mai–september, men helårlig lagring er realistisk. Inntektspotensial ved 80 % belegg: 150 kvm × 210 kr/mnd × 12 mnd × 0,80 =</w:t>
      </w:r>
      <w:r>
        <w:t xml:space="preserve"> </w:t>
      </w:r>
      <w:r>
        <w:rPr>
          <w:b/>
          <w:bCs/>
        </w:rPr>
        <w:t xml:space="preserve">302 400 NOK/år</w:t>
      </w:r>
      <w:r>
        <w:t xml:space="preserve">.</w:t>
      </w:r>
    </w:p>
    <w:p>
      <w:pPr>
        <w:pStyle w:val="BodyText"/>
      </w:pPr>
      <w:r>
        <w:t xml:space="preserve">Fordeling år 1: Selvbetjent B2B (30 %): 152 enheter. Full-service (70 %): 353 enheter.</w:t>
      </w:r>
    </w:p>
    <w:bookmarkEnd w:id="21"/>
    <w:bookmarkStart w:id="22" w:name="kontor"/>
    <w:p>
      <w:pPr>
        <w:pStyle w:val="Heading3"/>
      </w:pPr>
      <w:r>
        <w:t xml:space="preserve">4.2 Kontor</w:t>
      </w:r>
    </w:p>
    <w:p>
      <w:pPr>
        <w:pStyle w:val="FirstParagraph"/>
      </w:pPr>
      <w:r>
        <w:t xml:space="preserve">190 kvm kontorer leies til 1–3 næringsdrivende med MVA til 2 000 NOK/kvm/år =</w:t>
      </w:r>
      <w:r>
        <w:t xml:space="preserve"> </w:t>
      </w:r>
      <w:r>
        <w:rPr>
          <w:b/>
          <w:bCs/>
        </w:rPr>
        <w:t xml:space="preserve">380 000 NOK/år</w:t>
      </w:r>
      <w:r>
        <w:t xml:space="preserve">.</w:t>
      </w:r>
    </w:p>
    <w:bookmarkEnd w:id="22"/>
    <w:bookmarkStart w:id="23" w:name="tilleggstjenester-full-service"/>
    <w:p>
      <w:pPr>
        <w:pStyle w:val="Heading3"/>
      </w:pPr>
      <w:r>
        <w:t xml:space="preserve">4.3 Tilleggstjenester (full-service)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Tjeneste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Pris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Volum est.</w:t>
            </w:r>
          </w:p>
        </w:tc>
        <w:tc>
          <w:tcPr>
            <w:tcW w:w="1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Rev. per år</w:t>
            </w:r>
          </w:p>
        </w:tc>
      </w:tr>
      <w:t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Henting (0–5 km)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495 kr/besøk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200 besøk/år</w:t>
            </w:r>
          </w:p>
        </w:tc>
        <w:tc>
          <w:tcPr>
            <w:tcW w:w="1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99 000 kr</w:t>
            </w:r>
          </w:p>
        </w:tc>
      </w:tr>
      <w:t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Henting (5–15 km)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795 kr/besøk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100 besøk/år</w:t>
            </w:r>
          </w:p>
        </w:tc>
        <w:tc>
          <w:tcPr>
            <w:tcW w:w="1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79 500 kr</w:t>
            </w:r>
          </w:p>
        </w:tc>
      </w:tr>
      <w:t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Levering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495 kr/besøk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300 besøk/år</w:t>
            </w:r>
          </w:p>
        </w:tc>
        <w:tc>
          <w:tcPr>
            <w:tcW w:w="1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148 500 kr</w:t>
            </w:r>
          </w:p>
        </w:tc>
      </w:tr>
      <w:t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Emballasjepakke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199 kr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200 stk/år</w:t>
            </w:r>
          </w:p>
        </w:tc>
        <w:tc>
          <w:tcPr>
            <w:tcW w:w="1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39 800 kr</w:t>
            </w:r>
          </w:p>
        </w:tc>
      </w:tr>
      <w:tr>
        <w:tc>
          <w:tcPr>
            <w:tcW w:w="3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Forsikringspremie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99 kr/mnd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inkl. i full-service</w:t>
            </w:r>
          </w:p>
        </w:tc>
        <w:tc>
          <w:tcPr>
            <w:tcW w:w="1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Henting/levering er delvis inkludert i full-service månedspris; separate gebyrer for ekstra besøk.</w:t>
      </w:r>
    </w:p>
    <w:bookmarkEnd w:id="23"/>
    <w:bookmarkEnd w:id="24"/>
    <w:bookmarkStart w:id="27" w:name="inntektsprojeksjon"/>
    <w:p>
      <w:pPr>
        <w:pStyle w:val="Heading2"/>
      </w:pPr>
      <w:r>
        <w:t xml:space="preserve">5. Inntektsprojeksjon</w:t>
      </w:r>
    </w:p>
    <w:bookmarkStart w:id="25" w:name="belegg-forutsetninger"/>
    <w:p>
      <w:pPr>
        <w:pStyle w:val="Heading3"/>
      </w:pPr>
      <w:r>
        <w:t xml:space="preserve">5.1 Belegg-forutsetninger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W w:w="2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Segment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År 1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År 2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År 3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Stabilisert</w:t>
            </w:r>
          </w:p>
        </w:tc>
      </w:tr>
      <w:tr>
        <w:tc>
          <w:tcPr>
            <w:tcW w:w="2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Selvbetjent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60 %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75 %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85 %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88 %</w:t>
            </w:r>
          </w:p>
        </w:tc>
      </w:tr>
      <w:tr>
        <w:tc>
          <w:tcPr>
            <w:tcW w:w="2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Full-service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50 %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65 %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80 %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85 %</w:t>
            </w:r>
          </w:p>
        </w:tc>
      </w:tr>
      <w:tr>
        <w:tc>
          <w:tcPr>
            <w:tcW w:w="2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Krypkjeller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50 %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70 %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80 %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85 %</w:t>
            </w:r>
          </w:p>
        </w:tc>
      </w:tr>
    </w:tbl>
    <w:p>
      <w:pPr>
        <w:pStyle w:val="BodyText"/>
      </w:pPr>
      <w:r>
        <w:rPr>
          <w:i/>
          <w:iCs/>
        </w:rPr>
        <w:t xml:space="preserve">Typisk opptrapping for nye anlegg: 18–30 måneder til stabilisert belegg.</w:t>
      </w:r>
    </w:p>
    <w:bookmarkEnd w:id="25"/>
    <w:bookmarkStart w:id="26" w:name="leieinntekter-nok-per-år-ekskl.-mva"/>
    <w:p>
      <w:pPr>
        <w:pStyle w:val="Heading3"/>
      </w:pPr>
      <w:r>
        <w:t xml:space="preserve">5.2 Leieinntekter (NOK per år, ekskl. MVA)</w:t>
      </w:r>
    </w:p>
    <w:p>
      <w:pPr>
        <w:pStyle w:val="FirstParagraph"/>
      </w:pPr>
      <w:r>
        <w:t xml:space="preserve">Prisforutsetninger: Selvbetjent ~322 kvm til 2 640 kr/kvm/år. Full-service ~748 kvm til 3 180 kr/kvm/år. Krypkjeller ~150 kvm til 2 520 kr/kvm/år. Kontor 190 kvm til 2 000 kr/kvm/år.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188"/>
        <w:gridCol w:w="1188"/>
        <w:gridCol w:w="1188"/>
        <w:gridCol w:w="2574"/>
      </w:tblGrid>
      <w:tr>
        <w:trPr>
          <w:tblHeader w:val="on"/>
        </w:trP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Segment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År 1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År 2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År 3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Stabilisert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Selvbetjent lager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510 000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637 000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722 000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747 000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Full-service lager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1 189 000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1 546 000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1 903 000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2 022 000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Krypkjeller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189 000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265 000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302 000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321 000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Kontor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380 000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380 000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380 000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380 000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Tilleggstjenester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100 000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200 000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300 000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367 000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Sum inntekter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2 368 000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3 028 000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3 607 000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3 837 000</w:t>
            </w:r>
          </w:p>
        </w:tc>
      </w:tr>
    </w:tbl>
    <w:bookmarkEnd w:id="26"/>
    <w:bookmarkEnd w:id="27"/>
    <w:bookmarkStart w:id="31" w:name="kostnadsstruktur"/>
    <w:p>
      <w:pPr>
        <w:pStyle w:val="Heading2"/>
      </w:pPr>
      <w:r>
        <w:t xml:space="preserve">6. Kostnadsstruktur</w:t>
      </w:r>
    </w:p>
    <w:bookmarkStart w:id="28" w:name="kapitalkostnader-rehabilitering"/>
    <w:p>
      <w:pPr>
        <w:pStyle w:val="Heading3"/>
      </w:pPr>
      <w:r>
        <w:t xml:space="preserve">6.1 Kapitalkostnader (rehabilitering)</w:t>
      </w:r>
    </w:p>
    <w:p>
      <w:pPr>
        <w:pStyle w:val="FirstParagraph"/>
      </w:pPr>
      <w:r>
        <w:rPr>
          <w:b/>
          <w:bCs/>
        </w:rPr>
        <w:t xml:space="preserve">Investeringsanslag (indikativt, eks. MVA):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Kostnad (MNOK)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Strukturell rehabilitering (bæring, fundament, etasjeskillere)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8–12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Brannsikring (sprinkler, rømningsvei, brannskiller)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3–5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VVS og ventilasjon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2–3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Elektro og adgangssystem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2–3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Innredning (vegger, dører, skap/boder)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4–6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Arkitektur og prosjektering (SAHAA, HRP m.fl.)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2–3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Faglig bistand (juridisk, MVA, bank)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0,5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Uforutsett (10 %)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Total investering (eks. MVA)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30 MNOK</w:t>
            </w:r>
          </w:p>
        </w:tc>
      </w:tr>
    </w:tbl>
    <w:p>
      <w:pPr>
        <w:pStyle w:val="BodyText"/>
      </w:pPr>
      <w:r>
        <w:rPr>
          <w:i/>
          <w:iCs/>
        </w:rPr>
        <w:t xml:space="preserve">Samlet byggekostnad er anslått til 30 MNOK eks. MVA. Usikkerheter gjenstår i fundamenteringen (RIB-kartlegging pågår) – dekket av uforutsett-posten.</w:t>
      </w:r>
    </w:p>
    <w:p>
      <w:pPr>
        <w:pStyle w:val="BodyText"/>
      </w:pPr>
      <w:r>
        <w:rPr>
          <w:b/>
          <w:bCs/>
        </w:rPr>
        <w:t xml:space="preserve">Finansiering: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Kilde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Beløp (MNOK)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Merknad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Bankfinansiering (inkl. refinansiering av eks. gjeld 6,5 MNOK)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14–17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Total bankeksponering etter refinansiering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Egenkapital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2–4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Offentlig tilskudd – innvilget (KMF/BYA/UNI/Enova)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2,25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KMF 0,75 + BYA 0,50 + UNI 0,10 + Enova 0,90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Offentlig tilskudd – søknader under arbeid (SkatteFunn/IN m.fl.)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~4,75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Søknader under forberedelse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MVA-refusjon (tilbakegående avgiftsoppgjør, ~80 % dekning)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~6,0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Forutsetter avgiftspliktig virksomhet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Forventet total offentlig støtte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~7,0 MNOK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Innvilget + søknader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Byggekostnad (eks. MVA)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30 MNOK</w:t>
            </w:r>
          </w:p>
        </w:tc>
        <w:tc>
          <w:tcPr>
            <w:tcW w:w="4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Eksisterende gjeld på 6,5 MNOK er inkludert i bankfinansieringen og refinansieres inn i ny konstruksjonsfinansiering. MVA-refusjonen er en nøkkelpost: forutsetter at virksomheten er avgiftspliktig (Alternativ D).</w:t>
      </w:r>
    </w:p>
    <w:bookmarkEnd w:id="28"/>
    <w:bookmarkStart w:id="29" w:name="driftskostnader-per-år-mnok"/>
    <w:p>
      <w:pPr>
        <w:pStyle w:val="Heading3"/>
      </w:pPr>
      <w:r>
        <w:t xml:space="preserve">6.2 Driftskostnader (per år, MNOK)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MNOK/år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Personell (driftsansvarlig 50 %, chauffør 50 %)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0,500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Forsikring (bygning + ansvar)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0,100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Strøm og varme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0,200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Vedlikehold og renhold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0,100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Adgangssystem / teknologiplattform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0,120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Markedsføring (SEO, Google Ads, sosiale medier)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0,150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Regnskap, revisjon, juridisk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0,120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Varebil (leie / avskrivning, drivstoff)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0,150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Kommunale avgifter og forsikring bygg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0,080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Annet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0,080</w:t>
            </w:r>
          </w:p>
        </w:tc>
      </w:tr>
      <w:tr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Sum driftskostnader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1,600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NB: Personell og varebil er delvis inntektsgenererende via full-service (allokert over tid).</w:t>
      </w:r>
    </w:p>
    <w:bookmarkEnd w:id="29"/>
    <w:bookmarkStart w:id="30" w:name="ebitda-projeksjon"/>
    <w:p>
      <w:pPr>
        <w:pStyle w:val="Heading3"/>
      </w:pPr>
      <w:r>
        <w:t xml:space="preserve">6.3 EBITDA-projeksjon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År 1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År 2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År 3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Stab.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Sum inntekter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2,37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3,03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3,61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3,84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Driftskostnader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1,40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1,50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1,60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1,65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0,97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1,53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2,01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2,19</w:t>
            </w:r>
          </w:p>
        </w:tc>
      </w:tr>
      <w:tr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EBITDA-margin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41 %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50 %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56 %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57 %</w:t>
            </w:r>
          </w:p>
        </w:tc>
      </w:tr>
    </w:tbl>
    <w:p>
      <w:pPr>
        <w:pStyle w:val="BodyText"/>
      </w:pPr>
      <w:r>
        <w:rPr>
          <w:i/>
          <w:iCs/>
        </w:rPr>
        <w:t xml:space="preserve">Alle beløp i MNOK. Stabilisert EBITDA på ~2,19 MNOK gir god betjeningsevne for samlet bankeksponering på 14–17 MNOK. Krypkjelleren bidrar med ~0,3 MNOK/år ved stabilisert belegg.</w:t>
      </w:r>
    </w:p>
    <w:bookmarkEnd w:id="30"/>
    <w:bookmarkEnd w:id="31"/>
    <w:bookmarkStart w:id="34" w:name="break-even-analyse"/>
    <w:p>
      <w:pPr>
        <w:pStyle w:val="Heading2"/>
      </w:pPr>
      <w:r>
        <w:t xml:space="preserve">7. Break-even-analyse</w:t>
      </w:r>
    </w:p>
    <w:bookmarkStart w:id="32" w:name="break-even-belegg"/>
    <w:p>
      <w:pPr>
        <w:pStyle w:val="Heading3"/>
      </w:pPr>
      <w:r>
        <w:t xml:space="preserve">7.1 Break-even belegg</w:t>
      </w:r>
    </w:p>
    <w:p>
      <w:pPr>
        <w:pStyle w:val="FirstParagraph"/>
      </w:pPr>
      <w:r>
        <w:t xml:space="preserve">For å dekke driftskostnader (1,65 MNOK/år stabilisert) ved stabilisert mix:</w:t>
      </w:r>
    </w:p>
    <w:p>
      <w:pPr>
        <w:pStyle w:val="Compact"/>
        <w:numPr>
          <w:ilvl w:val="0"/>
          <w:numId w:val="1011"/>
        </w:numPr>
      </w:pPr>
      <w:r>
        <w:t xml:space="preserve">Nødvendig inntekt ved 100 % belegg: ~4,52 MNOK (ekskl. tilleggstjenester)</w:t>
      </w:r>
    </w:p>
    <w:p>
      <w:pPr>
        <w:pStyle w:val="Compact"/>
        <w:numPr>
          <w:ilvl w:val="0"/>
          <w:numId w:val="1011"/>
        </w:numPr>
      </w:pPr>
      <w:r>
        <w:t xml:space="preserve">Break-even belegg: 1,65 / 3,84 =</w:t>
      </w:r>
      <w:r>
        <w:t xml:space="preserve"> </w:t>
      </w:r>
      <w:r>
        <w:rPr>
          <w:b/>
          <w:bCs/>
        </w:rPr>
        <w:t xml:space="preserve">43 % totalutnyttelse</w:t>
      </w:r>
    </w:p>
    <w:p>
      <w:pPr>
        <w:pStyle w:val="FirstParagraph"/>
      </w:pPr>
      <w:r>
        <w:t xml:space="preserve">Med et markedsbelegg for norske sentrumsanlegg typisk på 75–88 % gir break-even på 43 % en svært komfortabel sikkerhetsmargin. Selv i et svakt år 1-scenario (beleggforutsetning: self 60 %, full 50 %, krypkjeller 50 %) gir prosjektet EBITDA på ~1,0 MNOK.</w:t>
      </w:r>
    </w:p>
    <w:bookmarkEnd w:id="32"/>
    <w:bookmarkStart w:id="33" w:name="break-even-tid-kapitalkostnader"/>
    <w:p>
      <w:pPr>
        <w:pStyle w:val="Heading3"/>
      </w:pPr>
      <w:r>
        <w:t xml:space="preserve">7.2 Break-even tid (kapitalkostnader)</w:t>
      </w:r>
    </w:p>
    <w:p>
      <w:pPr>
        <w:pStyle w:val="FirstParagraph"/>
      </w:pPr>
      <w:r>
        <w:t xml:space="preserve">Forutsetter:</w:t>
      </w:r>
    </w:p>
    <w:p>
      <w:pPr>
        <w:pStyle w:val="Compact"/>
        <w:numPr>
          <w:ilvl w:val="0"/>
          <w:numId w:val="1012"/>
        </w:numPr>
      </w:pPr>
      <w:r>
        <w:t xml:space="preserve">Total nettoinvestering etter tilskudd (~7 MNOK) og MVA-refusjon (~6 MNOK): ~17 MNOK</w:t>
      </w:r>
    </w:p>
    <w:p>
      <w:pPr>
        <w:pStyle w:val="Compact"/>
        <w:numPr>
          <w:ilvl w:val="0"/>
          <w:numId w:val="1012"/>
        </w:numPr>
      </w:pPr>
      <w:r>
        <w:t xml:space="preserve">Stabilisert EBITDA: 2,19 MNOK/år</w:t>
      </w:r>
    </w:p>
    <w:p>
      <w:pPr>
        <w:pStyle w:val="Compact"/>
        <w:numPr>
          <w:ilvl w:val="0"/>
          <w:numId w:val="1012"/>
        </w:numPr>
      </w:pPr>
      <w:r>
        <w:t xml:space="preserve">Break-even tid (EBITDA mot nettoinvestering): ~8 år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IRR (pre-lånekostnader): 10–14 %</w:t>
      </w:r>
      <w:r>
        <w:t xml:space="preserve"> </w:t>
      </w:r>
      <w:r>
        <w:t xml:space="preserve">(yield på sentralt eiendomsprosjekt med full-service)</w:t>
      </w:r>
    </w:p>
    <w:p>
      <w:pPr>
        <w:pStyle w:val="FirstParagraph"/>
      </w:pPr>
      <w:r>
        <w:rPr>
          <w:i/>
          <w:iCs/>
        </w:rPr>
        <w:t xml:space="preserve">Yield på norsk minilager-eiendom er attraktiv vs. kontor/retail. De samlede tilskuddene (~7 MNOK) og MVA-refusjonen (~6 MNOK) reduserer nettoinvesteringen dramatisk og forbedrer IRR vesentlig.</w:t>
      </w:r>
    </w:p>
    <w:bookmarkEnd w:id="33"/>
    <w:bookmarkEnd w:id="34"/>
    <w:bookmarkStart w:id="37" w:name="X11b95ff1858c4f22e7abaac8e3d262ad8d35299"/>
    <w:p>
      <w:pPr>
        <w:pStyle w:val="Heading2"/>
      </w:pPr>
      <w:r>
        <w:t xml:space="preserve">8. Lønnsomhetsvurdering og bankargumentasjon</w:t>
      </w:r>
    </w:p>
    <w:bookmarkStart w:id="35" w:name="netto-nåverdi-npv-illustrativt"/>
    <w:p>
      <w:pPr>
        <w:pStyle w:val="Heading3"/>
      </w:pPr>
      <w:r>
        <w:t xml:space="preserve">8.1 Netto nåverdi (NPV) – Illustrativt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280"/>
        <w:gridCol w:w="1680"/>
        <w:gridCol w:w="1200"/>
        <w:gridCol w:w="1680"/>
      </w:tblGrid>
      <w:tr>
        <w:trPr>
          <w:tblHeader w:val="on"/>
        </w:trPr>
        <w:tc>
          <w:tcPr>
            <w:tcW w:w="1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Scenario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Nettoinvestering (MNOK)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EBITDA stab.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Cap rate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Eiendomsverdi (MNOK)</w:t>
            </w:r>
          </w:p>
        </w:tc>
      </w:tr>
      <w:tr>
        <w:tc>
          <w:tcPr>
            <w:tcW w:w="1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Konservativt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1,90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6,5 %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29,2</w:t>
            </w:r>
          </w:p>
        </w:tc>
      </w:tr>
      <w:tr>
        <w:tc>
          <w:tcPr>
            <w:tcW w:w="1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Base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2,19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6,0 %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36,5</w:t>
            </w:r>
          </w:p>
        </w:tc>
      </w:tr>
      <w:tr>
        <w:tc>
          <w:tcPr>
            <w:tcW w:w="1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Optimistisk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2,50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5,5 %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45,5</w:t>
            </w:r>
          </w:p>
        </w:tc>
      </w:tr>
    </w:tbl>
    <w:p>
      <w:pPr>
        <w:pStyle w:val="BodyText"/>
      </w:pPr>
      <w:r>
        <w:rPr>
          <w:i/>
          <w:iCs/>
        </w:rPr>
        <w:t xml:space="preserve">Nettoinvestering etter tilskudd og MVA-refusjon. De samlede tilskuddene (~7 MNOK innvilget + søknader) og MVA-refusjonen (~6 MNOK) reduserer brutto investering fra 30 MNOK til ~17 MNOK i basisscenario. I base-scenarioet gir eiendomsverdien ~36,5 MNOK mot nettoinvestering ~17 MNOK – nær 2× multippel.</w:t>
      </w:r>
    </w:p>
    <w:bookmarkEnd w:id="35"/>
    <w:bookmarkStart w:id="36" w:name="X5d78622c2f2ae4a51f9cdc7e05145a99e0f4eb1"/>
    <w:p>
      <w:pPr>
        <w:pStyle w:val="Heading3"/>
      </w:pPr>
      <w:r>
        <w:t xml:space="preserve">8.2 Bankargumentasjon – MVA og avgiftspliktig virksomhet</w:t>
      </w:r>
    </w:p>
    <w:p>
      <w:pPr>
        <w:pStyle w:val="FirstParagraph"/>
      </w:pPr>
      <w:r>
        <w:t xml:space="preserve">For banken er det vesentlig å dokumentere: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Virksomheten er avgiftspliktig.</w:t>
      </w:r>
      <w:r>
        <w:t xml:space="preserve"> </w:t>
      </w:r>
      <w:r>
        <w:t xml:space="preserve">Dette bekrefter seriøsiteten av driftsmodellen og er nødvendig for å nyttiggjøre seg MVA-refusjoner som vil redusere lånebehov.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Full-service-modellen er gjennomtenkt.</w:t>
      </w:r>
      <w:r>
        <w:t xml:space="preserve"> </w:t>
      </w:r>
      <w:r>
        <w:t xml:space="preserve">Ikke bare «minilager med MVA-stempel», men et reelt tjenesteselskap med hente-/leveringslogistikk, digital plattform og aktiv kundeservice. Skatteetatens vilkår for avgiftsplikt oppfylles.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B2B-fokus gir stabil leiebase.</w:t>
      </w:r>
      <w:r>
        <w:t xml:space="preserve"> </w:t>
      </w:r>
      <w:r>
        <w:t xml:space="preserve">Næringsleietakere har typisk lengre leietid og lavere turn-over enn privatpersoner. For banken reduserer dette cash-flow-risikoen.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Tilskudd og offentlig støtte.</w:t>
      </w:r>
      <w:r>
        <w:t xml:space="preserve"> </w:t>
      </w:r>
      <w:r>
        <w:t xml:space="preserve">Prosjektet har innvilget støtte fra Kulturminnefondet (0,75 MNOK), Byantikvaren (0,50 MNOK), Stiftelsen UNI (0,10 MNOK), og Enova (0,90 MNOK) – totalt 2,25 MNOK formelt bekreftet. I tillegg arbeides det aktivt med søknader til SkatteFunn, Innovasjon Norge, Trøndelag fylkeskommune m.fl. Forventet total offentlig støtte: ~7,0 MNOK. Eksisterende bygningsgjeld på 6,5 MNOK refinansieres inn i ny konstruksjonsfinansiering.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Verdiskapning i kulturminne.</w:t>
      </w:r>
      <w:r>
        <w:t xml:space="preserve"> </w:t>
      </w:r>
      <w:r>
        <w:t xml:space="preserve">Rehabiliteringen er forankret i verneinteresser og har støtte fra kulturminnemyndigheter. Risikoen for rivningsvedtak eller stopp er minimal.</w:t>
      </w:r>
    </w:p>
    <w:bookmarkEnd w:id="36"/>
    <w:bookmarkEnd w:id="37"/>
    <w:bookmarkStart w:id="38" w:name="risikovurdering"/>
    <w:p>
      <w:pPr>
        <w:pStyle w:val="Heading2"/>
      </w:pPr>
      <w:r>
        <w:t xml:space="preserve">9. Risikovurdering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Risiko</w:t>
            </w:r>
          </w:p>
        </w:tc>
        <w:tc>
          <w:tcPr>
            <w:tcW w:w="1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Sanns.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Konsekvens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Tiltak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Regulatorisk: Plan&amp;Bygg avslår rammesøknad</w:t>
            </w:r>
          </w:p>
        </w:tc>
        <w:tc>
          <w:tcPr>
            <w:tcW w:w="1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Lav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Kritisk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Alternativplan 1. etg. klar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Byantikvaren: Krav om eksponering av steinmur</w:t>
            </w:r>
          </w:p>
        </w:tc>
        <w:tc>
          <w:tcPr>
            <w:tcW w:w="1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Middels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Høy (redusert areal)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Dialogbasert kompromissforslag levert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MVA: Skatteetaten omklassifiserer til passiv utleie</w:t>
            </w:r>
          </w:p>
        </w:tc>
        <w:tc>
          <w:tcPr>
            <w:tcW w:w="1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Middels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Høy (5–6 MNOK)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BFU, genuin full-service drift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Markedsrisiko: Lav etterspørsel</w:t>
            </w:r>
          </w:p>
        </w:tc>
        <w:tc>
          <w:tcPr>
            <w:tcW w:w="1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Lav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Middels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Sentralt; Trondheim underdekket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Byggerisiko: Overskridelse</w:t>
            </w:r>
          </w:p>
        </w:tc>
        <w:tc>
          <w:tcPr>
            <w:tcW w:w="1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Middels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Middels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Buffer i budsjett; EK-reserve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Konkurranserisiko: Ny aktør sentrum</w:t>
            </w:r>
          </w:p>
        </w:tc>
        <w:tc>
          <w:tcPr>
            <w:tcW w:w="1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Lav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Lav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Historisk bygg som barriere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Brannvesen: Dagbøter under byggefase</w:t>
            </w:r>
          </w:p>
        </w:tc>
        <w:tc>
          <w:tcPr>
            <w:tcW w:w="1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Pågående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Middels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TBRT-dialog; bestridt</w:t>
            </w:r>
          </w:p>
        </w:tc>
      </w:tr>
      <w:tr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Renterisiko</w:t>
            </w:r>
          </w:p>
        </w:tc>
        <w:tc>
          <w:tcPr>
            <w:tcW w:w="1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Middels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Middels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Fast rente på deler av lån</w:t>
            </w:r>
          </w:p>
        </w:tc>
      </w:tr>
    </w:tbl>
    <w:bookmarkEnd w:id="38"/>
    <w:bookmarkStart w:id="39" w:name="fremdriftsplan"/>
    <w:p>
      <w:pPr>
        <w:pStyle w:val="Heading2"/>
      </w:pPr>
      <w:r>
        <w:t xml:space="preserve">10. Fremdriftsplan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Milepæl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Dato (est.)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Rammesøknad levert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12.05.2026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Gjennomført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RIB-befaring kjeller (fundamentering)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Jun–Jul 2026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Pågår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Svar rammesøknad forventet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Aug–Sep 2026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BFU til Skatteetaten (MVA)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Q3 2026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Planlagt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MVA-spesialist engasjert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Q3 2026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Planlagt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MVA-registrering (frivillig)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Q3 2026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Planlagt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IG-søknad (igangsettingstillatelse)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Sep 2026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Bankfinansiering avklart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Q4 2026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Byggestart (IG innvilget)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Nov 2026 – Jan 2027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Estimert byggetid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10 måneder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Åpning for utleie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Sep–Nov 2027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Break-even belegg nådd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~2028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>
            <w:tcW w:w="4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Stabilisert belegg (85–90 %)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2029–2030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i/>
          <w:iCs/>
        </w:rPr>
        <w:t xml:space="preserve">Parallelt med byggesaksbehandling: Riving av ikke-verneverdige interiørelementer, rydding og klargjøring pågår.</w:t>
      </w:r>
    </w:p>
    <w:bookmarkEnd w:id="39"/>
    <w:bookmarkStart w:id="40" w:name="oppsummering"/>
    <w:p>
      <w:pPr>
        <w:pStyle w:val="Heading2"/>
      </w:pPr>
      <w:r>
        <w:t xml:space="preserve">11. Oppsummering</w:t>
      </w:r>
    </w:p>
    <w:p>
      <w:pPr>
        <w:pStyle w:val="FirstParagraph"/>
      </w:pPr>
      <w:r>
        <w:t xml:space="preserve">Fjordgata 30 AS er et prosjekt med høy kompleksitet, men solid potensial. De viktigste verdidriverne er: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Unik sentrumsbeliggenhet og Nidelv-tilknytning</w:t>
      </w:r>
      <w:r>
        <w:t xml:space="preserve"> </w:t>
      </w:r>
      <w:r>
        <w:t xml:space="preserve">– ingen direkte konkurrent tilbyr full-service minilager eller båtutstyrlagring i Trondheim sentrum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Prismodell ~3 000 kr/kvm/år + krypkjeller</w:t>
      </w:r>
      <w:r>
        <w:t xml:space="preserve"> </w:t>
      </w:r>
      <w:r>
        <w:t xml:space="preserve">– premium-posisjonering understøttet av sentralitet og full-service; gir stabilisert omsetning ~3,8 MNOK og EBITDA ~2,2 MNOK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Alternativ D (Hybrid)</w:t>
      </w:r>
      <w:r>
        <w:t xml:space="preserve"> </w:t>
      </w:r>
      <w:r>
        <w:t xml:space="preserve">– B2B selvbetjent + full-service «valet storage»; to stabile inntektsstrømmer og 90–100 % MVA-dekning i byggefasen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Offentlig støtte ~7 MNOK + MVA-refusjon ~6 MNOK</w:t>
      </w:r>
      <w:r>
        <w:t xml:space="preserve"> </w:t>
      </w:r>
      <w:r>
        <w:t xml:space="preserve">– reduserer nettoinvestering fra 30 MNOK til ~17 MNOK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Teknologiplatform</w:t>
      </w:r>
      <w:r>
        <w:t xml:space="preserve"> </w:t>
      </w:r>
      <w:r>
        <w:t xml:space="preserve">– skaper byttekostnader og differensiering mot rene discount-aktører</w:t>
      </w:r>
    </w:p>
    <w:p>
      <w:pPr>
        <w:pStyle w:val="FirstParagraph"/>
      </w:pPr>
      <w:r>
        <w:rPr>
          <w:b/>
          <w:bCs/>
        </w:rPr>
        <w:t xml:space="preserve">Neste kritiske steg:</w:t>
      </w:r>
    </w:p>
    <w:p>
      <w:pPr>
        <w:pStyle w:val="Compact"/>
        <w:numPr>
          <w:ilvl w:val="0"/>
          <w:numId w:val="1015"/>
        </w:numPr>
      </w:pPr>
      <w:r>
        <w:t xml:space="preserve">Avklare bæring og fundamentering (RIB)</w:t>
      </w:r>
    </w:p>
    <w:p>
      <w:pPr>
        <w:pStyle w:val="Compact"/>
        <w:numPr>
          <w:ilvl w:val="0"/>
          <w:numId w:val="1015"/>
        </w:numPr>
      </w:pPr>
      <w:r>
        <w:t xml:space="preserve">Hente inn MVA-spesialist og sende BFU</w:t>
      </w:r>
    </w:p>
    <w:p>
      <w:pPr>
        <w:pStyle w:val="Compact"/>
        <w:numPr>
          <w:ilvl w:val="0"/>
          <w:numId w:val="1015"/>
        </w:numPr>
      </w:pPr>
      <w:r>
        <w:t xml:space="preserve">Sikre bankfinansiering parallelt med IG-arbeidet</w:t>
      </w:r>
    </w:p>
    <w:p>
      <w:pPr>
        <w:pStyle w:val="Compact"/>
        <w:numPr>
          <w:ilvl w:val="0"/>
          <w:numId w:val="1015"/>
        </w:numPr>
      </w:pPr>
      <w:r>
        <w:t xml:space="preserve">Starte design og arkitekturarbeid for full-service-plattform</w:t>
      </w:r>
    </w:p>
    <w:p>
      <w:pPr>
        <w:pStyle w:val="FirstParagraph"/>
      </w:pPr>
      <w:r>
        <w:rPr>
          <w:i/>
          <w:iCs/>
        </w:rPr>
        <w:t xml:space="preserve">Vedlegg (kan fremlegges på forespørsel):</w:t>
      </w:r>
    </w:p>
    <w:p>
      <w:pPr>
        <w:pStyle w:val="Compact"/>
        <w:numPr>
          <w:ilvl w:val="0"/>
          <w:numId w:val="1016"/>
        </w:numPr>
      </w:pPr>
      <w:r>
        <w:t xml:space="preserve">MVA-strategi og juridisk analyse – utfyllende notat om valg av forretningsmodell og skattemessige konsekvenser</w:t>
      </w:r>
    </w:p>
    <w:p>
      <w:pPr>
        <w:pStyle w:val="Compact"/>
        <w:numPr>
          <w:ilvl w:val="0"/>
          <w:numId w:val="1016"/>
        </w:numPr>
      </w:pPr>
      <w:r>
        <w:t xml:space="preserve">Konkurrentanalyse og markedsdata – detaljert gjennomgang av konkurrenter i Trondheim og nasjonale markedstall</w:t>
      </w:r>
    </w:p>
    <w:p>
      <w:pPr>
        <w:pStyle w:val="Compact"/>
        <w:numPr>
          <w:ilvl w:val="0"/>
          <w:numId w:val="1016"/>
        </w:numPr>
      </w:pPr>
      <w:r>
        <w:t xml:space="preserve">Lovhenvisninger og prinsipputtalelser – relevante bestemmelser i merverdiavgiftsloven og prinsipputtalelser fra Skattedirektoratet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2026-06-23T22:07:32Z</dcterms:created>
  <dcterms:modified xsi:type="dcterms:W3CDTF">2026-06-23T22:07:32Z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