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Xfbd27d95eb0ed28b75a71e2c28f26bf4377c3d8"/>
    <w:p>
      <w:pPr>
        <w:pStyle w:val="Heading1"/>
      </w:pPr>
      <w:r>
        <w:t xml:space="preserve">SUREWAVE — Partner exploitation input template</w:t>
      </w:r>
    </w:p>
    <w:bookmarkStart w:id="9" w:name="purpose"/>
    <w:p>
      <w:pPr>
        <w:pStyle w:val="Heading2"/>
      </w:pPr>
      <w:r>
        <w:t xml:space="preserve">Purpose</w:t>
      </w:r>
    </w:p>
    <w:p>
      <w:pPr>
        <w:pStyle w:val="FirstParagraph"/>
      </w:pPr>
      <w:r>
        <w:t xml:space="preserve">This template collects per-partner input for the exploitation and dissemination reporting required under Grant Agreement 101083342 (HORIZON-CL5-2021-D3-03). Each partner fills in one copy for their own results, publications, IPR, standards work, dissemination and communication activities. Sunlit Sea (WP8 leader) aggregates the returned templates into the Exploitation Pathways &amp; Definitive Business Plan (D8.4), the Report on Exploitable Results, and the Continuous Reporting Module (CRM) screens in the EU Funding &amp; Tenders Portal for the Periodic Report(s).</w:t>
      </w:r>
    </w:p>
    <w:p>
      <w:pPr>
        <w:pStyle w:val="BodyText"/>
      </w:pPr>
      <w:r>
        <w:t xml:space="preserve">The fields below</w:t>
      </w:r>
      <w:r>
        <w:t xml:space="preserve"> </w:t>
      </w:r>
      <w:r>
        <w:rPr>
          <w:b/>
          <w:bCs/>
        </w:rPr>
        <w:t xml:space="preserve">mirror the ten CRM screens</w:t>
      </w:r>
      <w:r>
        <w:t xml:space="preserve"> </w:t>
      </w:r>
      <w:r>
        <w:t xml:space="preserve">in the HE Periodic Report template (V1.1, 01.05.2023). The Commission does not publish a downloadable partner-collection form — the CRM lives in the Portal — so this document is the working form the SUREWAVE consortium uses to prepare Portal entries offline.</w:t>
      </w:r>
    </w:p>
    <w:p>
      <w:pPr>
        <w:pStyle w:val="BodyText"/>
      </w:pPr>
      <w:r>
        <w:t xml:space="preserve">Return the completed template to Sunlit Sea (</w:t>
      </w:r>
      <w:r>
        <w:rPr>
          <w:rStyle w:val="VerbatimChar"/>
        </w:rPr>
        <w:t xml:space="preserve">eirik.larsen@sunlitsea.no</w:t>
      </w:r>
      <w:r>
        <w:t xml:space="preserve">) with any supporting attachments. If a field does not apply, mark it</w:t>
      </w:r>
      <w:r>
        <w:t xml:space="preserve"> </w:t>
      </w:r>
      <w:r>
        <w:rPr>
          <w:rStyle w:val="VerbatimChar"/>
        </w:rPr>
        <w:t xml:space="preserve">N/A</w:t>
      </w:r>
      <w:r>
        <w:t xml:space="preserve">. If information will be provided later, mark it</w:t>
      </w:r>
      <w:r>
        <w:t xml:space="preserve"> </w:t>
      </w:r>
      <w:r>
        <w:rPr>
          <w:rStyle w:val="VerbatimChar"/>
        </w:rPr>
        <w:t xml:space="preserve">TBD</w:t>
      </w:r>
      <w:r>
        <w:t xml:space="preserve"> </w:t>
      </w:r>
      <w:r>
        <w:t xml:space="preserve">with a target date.</w:t>
      </w:r>
    </w:p>
    <w:bookmarkEnd w:id="9"/>
    <w:bookmarkStart w:id="10" w:name="partner-metadata"/>
    <w:p>
      <w:pPr>
        <w:pStyle w:val="Heading2"/>
      </w:pPr>
      <w:r>
        <w:t xml:space="preserve">Partner metadata</w:t>
      </w:r>
    </w:p>
    <w:p>
      <w:pPr>
        <w:pStyle w:val="Compact"/>
        <w:numPr>
          <w:ilvl w:val="0"/>
          <w:numId w:val="1001"/>
        </w:numPr>
      </w:pPr>
      <w:r>
        <w:rPr>
          <w:b/>
          <w:bCs/>
        </w:rPr>
        <w:t xml:space="preserve">Partner name</w:t>
      </w:r>
      <w:r>
        <w:t xml:space="preserve">:</w:t>
      </w:r>
    </w:p>
    <w:p>
      <w:pPr>
        <w:pStyle w:val="Compact"/>
        <w:numPr>
          <w:ilvl w:val="0"/>
          <w:numId w:val="1001"/>
        </w:numPr>
      </w:pPr>
      <w:r>
        <w:rPr>
          <w:b/>
          <w:bCs/>
        </w:rPr>
        <w:t xml:space="preserve">Partner short name</w:t>
      </w:r>
      <w:r>
        <w:t xml:space="preserve"> </w:t>
      </w:r>
      <w:r>
        <w:t xml:space="preserve">(as in GA):</w:t>
      </w:r>
    </w:p>
    <w:p>
      <w:pPr>
        <w:pStyle w:val="Compact"/>
        <w:numPr>
          <w:ilvl w:val="0"/>
          <w:numId w:val="1001"/>
        </w:numPr>
      </w:pPr>
      <w:r>
        <w:rPr>
          <w:b/>
          <w:bCs/>
        </w:rPr>
        <w:t xml:space="preserve">Country of establishment</w:t>
      </w:r>
      <w:r>
        <w:t xml:space="preserve">:</w:t>
      </w:r>
    </w:p>
    <w:p>
      <w:pPr>
        <w:pStyle w:val="Compact"/>
        <w:numPr>
          <w:ilvl w:val="0"/>
          <w:numId w:val="1001"/>
        </w:numPr>
      </w:pPr>
      <w:r>
        <w:rPr>
          <w:b/>
          <w:bCs/>
        </w:rPr>
        <w:t xml:space="preserve">PIC (Participant Identification Code)</w:t>
      </w:r>
      <w:r>
        <w:t xml:space="preserve">:</w:t>
      </w:r>
    </w:p>
    <w:p>
      <w:pPr>
        <w:pStyle w:val="Compact"/>
        <w:numPr>
          <w:ilvl w:val="0"/>
          <w:numId w:val="1001"/>
        </w:numPr>
      </w:pPr>
      <w:r>
        <w:rPr>
          <w:b/>
          <w:bCs/>
        </w:rPr>
        <w:t xml:space="preserve">Person completing this form</w:t>
      </w:r>
      <w:r>
        <w:t xml:space="preserve">:</w:t>
      </w:r>
    </w:p>
    <w:p>
      <w:pPr>
        <w:pStyle w:val="Compact"/>
        <w:numPr>
          <w:ilvl w:val="0"/>
          <w:numId w:val="1001"/>
        </w:numPr>
      </w:pPr>
      <w:r>
        <w:rPr>
          <w:b/>
          <w:bCs/>
        </w:rPr>
        <w:t xml:space="preserve">Role</w:t>
      </w:r>
      <w:r>
        <w:t xml:space="preserve">:</w:t>
      </w:r>
    </w:p>
    <w:p>
      <w:pPr>
        <w:pStyle w:val="Compact"/>
        <w:numPr>
          <w:ilvl w:val="0"/>
          <w:numId w:val="1001"/>
        </w:numPr>
      </w:pPr>
      <w:r>
        <w:rPr>
          <w:b/>
          <w:bCs/>
        </w:rPr>
        <w:t xml:space="preserve">Email</w:t>
      </w:r>
      <w:r>
        <w:t xml:space="preserve">:</w:t>
      </w:r>
    </w:p>
    <w:p>
      <w:pPr>
        <w:pStyle w:val="Compact"/>
        <w:numPr>
          <w:ilvl w:val="0"/>
          <w:numId w:val="1001"/>
        </w:numPr>
      </w:pPr>
      <w:r>
        <w:rPr>
          <w:b/>
          <w:bCs/>
        </w:rPr>
        <w:t xml:space="preserve">Date completed</w:t>
      </w:r>
      <w:r>
        <w:t xml:space="preserve">:</w:t>
      </w:r>
    </w:p>
    <w:p>
      <w:pPr>
        <w:pStyle w:val="Compact"/>
        <w:numPr>
          <w:ilvl w:val="0"/>
          <w:numId w:val="1001"/>
        </w:numPr>
      </w:pPr>
      <w:r>
        <w:rPr>
          <w:b/>
          <w:bCs/>
        </w:rPr>
        <w:t xml:space="preserve">Reporting period this input relates to</w:t>
      </w:r>
      <w:r>
        <w:t xml:space="preserve"> </w:t>
      </w:r>
      <w:r>
        <w:t xml:space="preserve">(RP1 / RP2 / RP3 / final / continuous):</w:t>
      </w:r>
    </w:p>
    <w:p>
      <w:r>
        <w:pict>
          <v:rect style="width:0;height:1.5pt" o:hralign="center" o:hrstd="t" o:hr="t"/>
        </w:pict>
      </w:r>
    </w:p>
    <w:bookmarkEnd w:id="10"/>
    <w:bookmarkStart w:id="13" w:name="section-1-results"/>
    <w:p>
      <w:pPr>
        <w:pStyle w:val="Heading2"/>
      </w:pPr>
      <w:r>
        <w:t xml:space="preserve">Section 1 — Results</w:t>
      </w:r>
    </w:p>
    <w:p>
      <w:pPr>
        <w:pStyle w:val="FirstParagraph"/>
      </w:pPr>
      <w:r>
        <w:rPr>
          <w:i/>
          <w:iCs/>
        </w:rPr>
        <w:t xml:space="preserve">List every result you have generated during the project. Include both KERs (Key Exploitable Results) and non-key results. Copy the block below once per result.</w:t>
      </w:r>
    </w:p>
    <w:p>
      <w:pPr>
        <w:pStyle w:val="BodyText"/>
      </w:pPr>
      <w:r>
        <w:rPr>
          <w:b/>
          <w:bCs/>
        </w:rPr>
        <w:t xml:space="preserve">Notes:</w:t>
      </w:r>
      <w:r>
        <w:t xml:space="preserve"> </w:t>
      </w:r>
      <w:r>
        <w:t xml:space="preserve">- Fields marked * are mandatory only for KERs.</w:t>
      </w:r>
      <w:r>
        <w:t xml:space="preserve"> </w:t>
      </w:r>
      <w:r>
        <w:t xml:space="preserve">- Fields marked ** are mandatory only for KERs of type PROD/SERV/PROC/BUS/DSG/METH.</w:t>
      </w:r>
      <w:r>
        <w:t xml:space="preserve"> </w:t>
      </w:r>
      <w:r>
        <w:t xml:space="preserve">- You are obliged under the Grant Agreement to use the</w:t>
      </w:r>
      <w:r>
        <w:t xml:space="preserve"> </w:t>
      </w:r>
      <w:r>
        <w:rPr>
          <w:b/>
          <w:bCs/>
        </w:rPr>
        <w:t xml:space="preserve">Horizon Results Platform</w:t>
      </w:r>
      <w:r>
        <w:t xml:space="preserve"> </w:t>
      </w:r>
      <w:r>
        <w:t xml:space="preserve">to find interested parties to exploit your KERs if you have not been able to exploit them within one year after the end of the project (unless waived by the granting authority).</w:t>
      </w:r>
      <w:r>
        <w:t xml:space="preserve"> </w:t>
      </w:r>
      <w:r>
        <w:rPr>
          <w:b/>
          <w:bCs/>
        </w:rPr>
        <w:t xml:space="preserve">Exploitation efforts must be continued up to four years after the end of the project, even when the HRP is used.</w:t>
      </w:r>
    </w:p>
    <w:bookmarkStart w:id="11" w:name="result-1"/>
    <w:p>
      <w:pPr>
        <w:pStyle w:val="Heading3"/>
      </w:pPr>
      <w:r>
        <w:t xml:space="preserve">Result [1]</w:t>
      </w:r>
    </w:p>
    <w:p>
      <w:pPr>
        <w:pStyle w:val="Compact"/>
        <w:numPr>
          <w:ilvl w:val="0"/>
          <w:numId w:val="1002"/>
        </w:numPr>
      </w:pPr>
      <w:r>
        <w:rPr>
          <w:b/>
          <w:bCs/>
        </w:rPr>
        <w:t xml:space="preserve">Result name</w:t>
      </w:r>
      <w:r>
        <w:t xml:space="preserve">:</w:t>
      </w:r>
    </w:p>
    <w:p>
      <w:pPr>
        <w:pStyle w:val="Compact"/>
        <w:numPr>
          <w:ilvl w:val="0"/>
          <w:numId w:val="1002"/>
        </w:numPr>
      </w:pPr>
      <w:r>
        <w:rPr>
          <w:b/>
          <w:bCs/>
        </w:rPr>
        <w:t xml:space="preserve">Result type</w:t>
      </w:r>
      <w:r>
        <w:t xml:space="preserve"> </w:t>
      </w:r>
      <w:r>
        <w:t xml:space="preserve">(single choice — pick one):</w:t>
      </w:r>
    </w:p>
    <w:p>
      <w:pPr>
        <w:pStyle w:val="Compact"/>
        <w:numPr>
          <w:ilvl w:val="1"/>
          <w:numId w:val="1003"/>
        </w:numPr>
      </w:pPr>
      <w:r>
        <w:t xml:space="preserve">SCI — Scientific discovery, model, theory</w:t>
      </w:r>
    </w:p>
    <w:p>
      <w:pPr>
        <w:pStyle w:val="Compact"/>
        <w:numPr>
          <w:ilvl w:val="1"/>
          <w:numId w:val="1004"/>
        </w:numPr>
      </w:pPr>
      <w:r>
        <w:t xml:space="preserve">PROD — Product (new or improved)</w:t>
      </w:r>
    </w:p>
    <w:p>
      <w:pPr>
        <w:pStyle w:val="Compact"/>
        <w:numPr>
          <w:ilvl w:val="1"/>
          <w:numId w:val="1005"/>
        </w:numPr>
      </w:pPr>
      <w:r>
        <w:t xml:space="preserve">SERV — Service (new or improved)</w:t>
      </w:r>
    </w:p>
    <w:p>
      <w:pPr>
        <w:pStyle w:val="Compact"/>
        <w:numPr>
          <w:ilvl w:val="1"/>
          <w:numId w:val="1006"/>
        </w:numPr>
      </w:pPr>
      <w:r>
        <w:t xml:space="preserve">PROC — Industrial process (new or improved)</w:t>
      </w:r>
    </w:p>
    <w:p>
      <w:pPr>
        <w:pStyle w:val="Compact"/>
        <w:numPr>
          <w:ilvl w:val="1"/>
          <w:numId w:val="1007"/>
        </w:numPr>
      </w:pPr>
      <w:r>
        <w:t xml:space="preserve">BUS — Business model (new or improved)</w:t>
      </w:r>
    </w:p>
    <w:p>
      <w:pPr>
        <w:pStyle w:val="Compact"/>
        <w:numPr>
          <w:ilvl w:val="1"/>
          <w:numId w:val="1008"/>
        </w:numPr>
      </w:pPr>
      <w:r>
        <w:t xml:space="preserve">DSG — Design (new or improved)</w:t>
      </w:r>
    </w:p>
    <w:p>
      <w:pPr>
        <w:pStyle w:val="Compact"/>
        <w:numPr>
          <w:ilvl w:val="1"/>
          <w:numId w:val="1009"/>
        </w:numPr>
      </w:pPr>
      <w:r>
        <w:t xml:space="preserve">METH — Method, material, technology, design (new or improved)</w:t>
      </w:r>
    </w:p>
    <w:p>
      <w:pPr>
        <w:pStyle w:val="Compact"/>
        <w:numPr>
          <w:ilvl w:val="1"/>
          <w:numId w:val="1010"/>
        </w:numPr>
      </w:pPr>
      <w:r>
        <w:t xml:space="preserve">PO — Policy recommendation, guidance, awareness raising, advocacy</w:t>
      </w:r>
    </w:p>
    <w:p>
      <w:pPr>
        <w:pStyle w:val="Compact"/>
        <w:numPr>
          <w:ilvl w:val="1"/>
          <w:numId w:val="1011"/>
        </w:numPr>
      </w:pPr>
      <w:r>
        <w:t xml:space="preserve">EVNT — Event (conference, seminar, workshop)</w:t>
      </w:r>
    </w:p>
    <w:p>
      <w:pPr>
        <w:pStyle w:val="Compact"/>
        <w:numPr>
          <w:ilvl w:val="1"/>
          <w:numId w:val="1012"/>
        </w:numPr>
      </w:pPr>
      <w:r>
        <w:t xml:space="preserve">STAFF — Qualified personnel exchanges</w:t>
      </w:r>
    </w:p>
    <w:p>
      <w:pPr>
        <w:pStyle w:val="Compact"/>
        <w:numPr>
          <w:ilvl w:val="1"/>
          <w:numId w:val="1013"/>
        </w:numPr>
      </w:pPr>
      <w:r>
        <w:t xml:space="preserve">LEARN — Learning and training (learning modules, curricula)</w:t>
      </w:r>
    </w:p>
    <w:p>
      <w:pPr>
        <w:pStyle w:val="Compact"/>
        <w:numPr>
          <w:ilvl w:val="1"/>
          <w:numId w:val="1014"/>
        </w:numPr>
      </w:pPr>
      <w:r>
        <w:t xml:space="preserve">INFRA — New or improved infrastructures or facilities</w:t>
      </w:r>
    </w:p>
    <w:p>
      <w:pPr>
        <w:pStyle w:val="Compact"/>
        <w:numPr>
          <w:ilvl w:val="0"/>
          <w:numId w:val="1002"/>
        </w:numPr>
      </w:pPr>
      <w:r>
        <w:rPr>
          <w:b/>
          <w:bCs/>
        </w:rPr>
        <w:t xml:space="preserve">Is this a Key Exploitable Result (KER)?</w:t>
      </w:r>
      <w:r>
        <w:t xml:space="preserve"> </w:t>
      </w:r>
      <w:r>
        <w:t xml:space="preserve">[ ] Yes / [ ] No</w:t>
      </w:r>
    </w:p>
    <w:p>
      <w:pPr>
        <w:pStyle w:val="Compact"/>
        <w:numPr>
          <w:ilvl w:val="0"/>
          <w:numId w:val="1002"/>
        </w:numPr>
      </w:pPr>
      <w:r>
        <w:rPr>
          <w:b/>
          <w:bCs/>
        </w:rPr>
        <w:t xml:space="preserve">If yes, which SUREWAVE KER does it map to?</w:t>
      </w:r>
      <w:r>
        <w:t xml:space="preserve"> </w:t>
      </w:r>
      <w:r>
        <w:t xml:space="preserve">(KER1 integrated FPV / KER2 circular concrete / KER3 floating breakwater / KER4 aero-mech testing / KER5 hydrodynamic models / KER6 SHMS / KER7 sustainability assessment / New — propose):</w:t>
      </w:r>
    </w:p>
    <w:p>
      <w:pPr>
        <w:pStyle w:val="Compact"/>
        <w:numPr>
          <w:ilvl w:val="0"/>
          <w:numId w:val="1002"/>
        </w:numPr>
      </w:pPr>
      <w:r>
        <w:rPr>
          <w:b/>
          <w:bCs/>
        </w:rPr>
        <w:t xml:space="preserve">Short description</w:t>
      </w:r>
      <w:r>
        <w:t xml:space="preserve"> </w:t>
      </w:r>
      <w:r>
        <w:t xml:space="preserve">(max 500 characters):</w:t>
      </w:r>
    </w:p>
    <w:p>
      <w:pPr>
        <w:pStyle w:val="Compact"/>
        <w:numPr>
          <w:ilvl w:val="0"/>
          <w:numId w:val="1002"/>
        </w:numPr>
      </w:pPr>
      <w:r>
        <w:rPr>
          <w:b/>
          <w:bCs/>
        </w:rPr>
        <w:t xml:space="preserve">Description of high potential</w:t>
      </w:r>
      <w:r>
        <w:t xml:space="preserve">* (max 200 characters — pick one):</w:t>
      </w:r>
    </w:p>
    <w:p>
      <w:pPr>
        <w:pStyle w:val="Compact"/>
        <w:numPr>
          <w:ilvl w:val="1"/>
          <w:numId w:val="1015"/>
        </w:numPr>
      </w:pPr>
      <w:r>
        <w:t xml:space="preserve">High scientific potential</w:t>
      </w:r>
    </w:p>
    <w:p>
      <w:pPr>
        <w:pStyle w:val="Compact"/>
        <w:numPr>
          <w:ilvl w:val="1"/>
          <w:numId w:val="1016"/>
        </w:numPr>
      </w:pPr>
      <w:r>
        <w:t xml:space="preserve">High societal potential (other than climate or environmental)</w:t>
      </w:r>
    </w:p>
    <w:p>
      <w:pPr>
        <w:pStyle w:val="Compact"/>
        <w:numPr>
          <w:ilvl w:val="1"/>
          <w:numId w:val="1017"/>
        </w:numPr>
      </w:pPr>
      <w:r>
        <w:t xml:space="preserve">High societal potential</w:t>
      </w:r>
    </w:p>
    <w:p>
      <w:pPr>
        <w:pStyle w:val="Compact"/>
        <w:numPr>
          <w:ilvl w:val="1"/>
          <w:numId w:val="1018"/>
        </w:numPr>
      </w:pPr>
      <w:r>
        <w:t xml:space="preserve">High technologic, business or economic potential</w:t>
      </w:r>
    </w:p>
    <w:p>
      <w:pPr>
        <w:pStyle w:val="Compact"/>
        <w:numPr>
          <w:ilvl w:val="1"/>
          <w:numId w:val="1019"/>
        </w:numPr>
      </w:pPr>
      <w:r>
        <w:t xml:space="preserve">High policy or regulatory potential</w:t>
      </w:r>
    </w:p>
    <w:p>
      <w:pPr>
        <w:pStyle w:val="Compact"/>
        <w:numPr>
          <w:ilvl w:val="1"/>
          <w:numId w:val="1020"/>
        </w:numPr>
      </w:pPr>
      <w:r>
        <w:t xml:space="preserve">N/A</w:t>
      </w:r>
    </w:p>
    <w:p>
      <w:pPr>
        <w:pStyle w:val="Compact"/>
        <w:numPr>
          <w:ilvl w:val="0"/>
          <w:numId w:val="1002"/>
        </w:numPr>
      </w:pPr>
      <w:r>
        <w:rPr>
          <w:b/>
          <w:bCs/>
        </w:rPr>
        <w:t xml:space="preserve">Audience / target group</w:t>
      </w:r>
      <w:r>
        <w:t xml:space="preserve">* (multi-select — check all that apply):</w:t>
      </w:r>
    </w:p>
    <w:p>
      <w:pPr>
        <w:pStyle w:val="Compact"/>
        <w:numPr>
          <w:ilvl w:val="1"/>
          <w:numId w:val="1021"/>
        </w:numPr>
      </w:pPr>
      <w:r>
        <w:t xml:space="preserve">Researchers</w:t>
      </w:r>
    </w:p>
    <w:p>
      <w:pPr>
        <w:pStyle w:val="Compact"/>
        <w:numPr>
          <w:ilvl w:val="1"/>
          <w:numId w:val="1022"/>
        </w:numPr>
      </w:pPr>
      <w:r>
        <w:t xml:space="preserve">Industry, business partners</w:t>
      </w:r>
    </w:p>
    <w:p>
      <w:pPr>
        <w:pStyle w:val="Compact"/>
        <w:numPr>
          <w:ilvl w:val="1"/>
          <w:numId w:val="1023"/>
        </w:numPr>
      </w:pPr>
      <w:r>
        <w:t xml:space="preserve">Investors</w:t>
      </w:r>
    </w:p>
    <w:p>
      <w:pPr>
        <w:pStyle w:val="Compact"/>
        <w:numPr>
          <w:ilvl w:val="1"/>
          <w:numId w:val="1024"/>
        </w:numPr>
      </w:pPr>
      <w:r>
        <w:t xml:space="preserve">EU Institutions and/or agencies</w:t>
      </w:r>
    </w:p>
    <w:p>
      <w:pPr>
        <w:pStyle w:val="Compact"/>
        <w:numPr>
          <w:ilvl w:val="1"/>
          <w:numId w:val="1025"/>
        </w:numPr>
      </w:pPr>
      <w:r>
        <w:t xml:space="preserve">Policy makers and authorities, international</w:t>
      </w:r>
    </w:p>
    <w:p>
      <w:pPr>
        <w:pStyle w:val="Compact"/>
        <w:numPr>
          <w:ilvl w:val="1"/>
          <w:numId w:val="1026"/>
        </w:numPr>
      </w:pPr>
      <w:r>
        <w:t xml:space="preserve">Policy makers and authorities, national</w:t>
      </w:r>
    </w:p>
    <w:p>
      <w:pPr>
        <w:pStyle w:val="Compact"/>
        <w:numPr>
          <w:ilvl w:val="1"/>
          <w:numId w:val="1027"/>
        </w:numPr>
      </w:pPr>
      <w:r>
        <w:t xml:space="preserve">Policy makers and authorities, regional or local</w:t>
      </w:r>
    </w:p>
    <w:p>
      <w:pPr>
        <w:pStyle w:val="Compact"/>
        <w:numPr>
          <w:ilvl w:val="1"/>
          <w:numId w:val="1028"/>
        </w:numPr>
      </w:pPr>
      <w:r>
        <w:t xml:space="preserve">Citizens</w:t>
      </w:r>
    </w:p>
    <w:p>
      <w:pPr>
        <w:pStyle w:val="Compact"/>
        <w:numPr>
          <w:ilvl w:val="1"/>
          <w:numId w:val="1029"/>
        </w:numPr>
      </w:pPr>
      <w:r>
        <w:t xml:space="preserve">Standardization bodies</w:t>
      </w:r>
    </w:p>
    <w:p>
      <w:pPr>
        <w:pStyle w:val="Compact"/>
        <w:numPr>
          <w:ilvl w:val="1"/>
          <w:numId w:val="1030"/>
        </w:numPr>
      </w:pPr>
      <w:r>
        <w:t xml:space="preserve">Innovators</w:t>
      </w:r>
    </w:p>
    <w:p>
      <w:pPr>
        <w:pStyle w:val="Compact"/>
        <w:numPr>
          <w:ilvl w:val="1"/>
          <w:numId w:val="1031"/>
        </w:numPr>
      </w:pPr>
      <w:r>
        <w:t xml:space="preserve">End users (practitioners, farmers, etc.)</w:t>
      </w:r>
    </w:p>
    <w:p>
      <w:pPr>
        <w:pStyle w:val="Compact"/>
        <w:numPr>
          <w:ilvl w:val="1"/>
          <w:numId w:val="1032"/>
        </w:numPr>
      </w:pPr>
      <w:r>
        <w:t xml:space="preserve">Education / training organization / learners</w:t>
      </w:r>
    </w:p>
    <w:p>
      <w:pPr>
        <w:pStyle w:val="Compact"/>
        <w:numPr>
          <w:ilvl w:val="1"/>
          <w:numId w:val="1033"/>
        </w:numPr>
      </w:pPr>
      <w:r>
        <w:t xml:space="preserve">Research Infrastructures</w:t>
      </w:r>
    </w:p>
    <w:p>
      <w:pPr>
        <w:pStyle w:val="Compact"/>
        <w:numPr>
          <w:ilvl w:val="1"/>
          <w:numId w:val="1034"/>
        </w:numPr>
      </w:pPr>
      <w:r>
        <w:t xml:space="preserve">Business accelerator providers</w:t>
      </w:r>
    </w:p>
    <w:p>
      <w:pPr>
        <w:pStyle w:val="Compact"/>
        <w:numPr>
          <w:ilvl w:val="1"/>
          <w:numId w:val="1035"/>
        </w:numPr>
      </w:pPr>
      <w:r>
        <w:t xml:space="preserve">Other:</w:t>
      </w:r>
    </w:p>
    <w:p>
      <w:pPr>
        <w:pStyle w:val="Compact"/>
        <w:numPr>
          <w:ilvl w:val="1"/>
          <w:numId w:val="1036"/>
        </w:numPr>
      </w:pPr>
      <w:r>
        <w:t xml:space="preserve">Applicable to all</w:t>
      </w:r>
    </w:p>
    <w:p>
      <w:pPr>
        <w:pStyle w:val="Compact"/>
        <w:numPr>
          <w:ilvl w:val="0"/>
          <w:numId w:val="1002"/>
        </w:numPr>
      </w:pPr>
      <w:r>
        <w:rPr>
          <w:b/>
          <w:bCs/>
        </w:rPr>
        <w:t xml:space="preserve">Steps undertaken towards exploitation</w:t>
      </w:r>
      <w:r>
        <w:t xml:space="preserve">** (multi-select):</w:t>
      </w:r>
    </w:p>
    <w:p>
      <w:pPr>
        <w:pStyle w:val="Compact"/>
        <w:numPr>
          <w:ilvl w:val="1"/>
          <w:numId w:val="1037"/>
        </w:numPr>
      </w:pPr>
      <w:r>
        <w:t xml:space="preserve">Prototyping in laboratory environment</w:t>
      </w:r>
    </w:p>
    <w:p>
      <w:pPr>
        <w:pStyle w:val="Compact"/>
        <w:numPr>
          <w:ilvl w:val="1"/>
          <w:numId w:val="1038"/>
        </w:numPr>
      </w:pPr>
      <w:r>
        <w:t xml:space="preserve">Prototyping in production environment</w:t>
      </w:r>
    </w:p>
    <w:p>
      <w:pPr>
        <w:pStyle w:val="Compact"/>
        <w:numPr>
          <w:ilvl w:val="1"/>
          <w:numId w:val="1039"/>
        </w:numPr>
      </w:pPr>
      <w:r>
        <w:t xml:space="preserve">Pilot, demonstration or testing</w:t>
      </w:r>
    </w:p>
    <w:p>
      <w:pPr>
        <w:pStyle w:val="Compact"/>
        <w:numPr>
          <w:ilvl w:val="1"/>
          <w:numId w:val="1040"/>
        </w:numPr>
      </w:pPr>
      <w:r>
        <w:t xml:space="preserve">Intellectual property management</w:t>
      </w:r>
    </w:p>
    <w:p>
      <w:pPr>
        <w:pStyle w:val="Compact"/>
        <w:numPr>
          <w:ilvl w:val="1"/>
          <w:numId w:val="1041"/>
        </w:numPr>
      </w:pPr>
      <w:r>
        <w:t xml:space="preserve">Complying with regulatory framework</w:t>
      </w:r>
    </w:p>
    <w:p>
      <w:pPr>
        <w:pStyle w:val="Compact"/>
        <w:numPr>
          <w:ilvl w:val="1"/>
          <w:numId w:val="1042"/>
        </w:numPr>
      </w:pPr>
      <w:r>
        <w:t xml:space="preserve">Contribution to standards</w:t>
      </w:r>
    </w:p>
    <w:p>
      <w:pPr>
        <w:pStyle w:val="Compact"/>
        <w:numPr>
          <w:ilvl w:val="1"/>
          <w:numId w:val="1043"/>
        </w:numPr>
      </w:pPr>
      <w:r>
        <w:t xml:space="preserve">Feasibility Study</w:t>
      </w:r>
    </w:p>
    <w:p>
      <w:pPr>
        <w:pStyle w:val="Compact"/>
        <w:numPr>
          <w:ilvl w:val="1"/>
          <w:numId w:val="1044"/>
        </w:numPr>
      </w:pPr>
      <w:r>
        <w:t xml:space="preserve">Market Study</w:t>
      </w:r>
    </w:p>
    <w:p>
      <w:pPr>
        <w:pStyle w:val="Compact"/>
        <w:numPr>
          <w:ilvl w:val="1"/>
          <w:numId w:val="1045"/>
        </w:numPr>
      </w:pPr>
      <w:r>
        <w:t xml:space="preserve">Business plan</w:t>
      </w:r>
    </w:p>
    <w:p>
      <w:pPr>
        <w:pStyle w:val="Compact"/>
        <w:numPr>
          <w:ilvl w:val="1"/>
          <w:numId w:val="1046"/>
        </w:numPr>
      </w:pPr>
      <w:r>
        <w:t xml:space="preserve">Other:</w:t>
      </w:r>
    </w:p>
    <w:p>
      <w:pPr>
        <w:pStyle w:val="Compact"/>
        <w:numPr>
          <w:ilvl w:val="0"/>
          <w:numId w:val="1002"/>
        </w:numPr>
      </w:pPr>
      <w:r>
        <w:rPr>
          <w:b/>
          <w:bCs/>
        </w:rPr>
        <w:t xml:space="preserve">Market maturity</w:t>
      </w:r>
      <w:r>
        <w:t xml:space="preserve">** (single choice):</w:t>
      </w:r>
    </w:p>
    <w:p>
      <w:pPr>
        <w:pStyle w:val="Compact"/>
        <w:numPr>
          <w:ilvl w:val="1"/>
          <w:numId w:val="1047"/>
        </w:numPr>
      </w:pPr>
      <w:r>
        <w:t xml:space="preserve">Not yet existing and not clear if market can be created</w:t>
      </w:r>
    </w:p>
    <w:p>
      <w:pPr>
        <w:pStyle w:val="Compact"/>
        <w:numPr>
          <w:ilvl w:val="1"/>
          <w:numId w:val="1048"/>
        </w:numPr>
      </w:pPr>
      <w:r>
        <w:t xml:space="preserve">Market creating: not existing but potential for the creation of a new market</w:t>
      </w:r>
    </w:p>
    <w:p>
      <w:pPr>
        <w:pStyle w:val="Compact"/>
        <w:numPr>
          <w:ilvl w:val="1"/>
          <w:numId w:val="1049"/>
        </w:numPr>
      </w:pPr>
      <w:r>
        <w:t xml:space="preserve">Emerging: growing demand, scarce supply</w:t>
      </w:r>
    </w:p>
    <w:p>
      <w:pPr>
        <w:pStyle w:val="Compact"/>
        <w:numPr>
          <w:ilvl w:val="1"/>
          <w:numId w:val="1050"/>
        </w:numPr>
      </w:pPr>
      <w:r>
        <w:t xml:space="preserve">Mature: the market is already supplied with similar products</w:t>
      </w:r>
    </w:p>
    <w:p>
      <w:pPr>
        <w:pStyle w:val="Compact"/>
        <w:numPr>
          <w:ilvl w:val="0"/>
          <w:numId w:val="1002"/>
        </w:numPr>
      </w:pPr>
      <w:r>
        <w:rPr>
          <w:b/>
          <w:bCs/>
        </w:rPr>
        <w:t xml:space="preserve">Current TRL</w:t>
      </w:r>
      <w:r>
        <w:t xml:space="preserve"> </w:t>
      </w:r>
      <w:r>
        <w:t xml:space="preserve">(1–9):</w:t>
      </w:r>
    </w:p>
    <w:p>
      <w:pPr>
        <w:pStyle w:val="Compact"/>
        <w:numPr>
          <w:ilvl w:val="0"/>
          <w:numId w:val="1002"/>
        </w:numPr>
      </w:pPr>
      <w:r>
        <w:rPr>
          <w:b/>
          <w:bCs/>
        </w:rPr>
        <w:t xml:space="preserve">Target TRL at end of project</w:t>
      </w:r>
      <w:r>
        <w:t xml:space="preserve">:</w:t>
      </w:r>
    </w:p>
    <w:p>
      <w:pPr>
        <w:pStyle w:val="Compact"/>
        <w:numPr>
          <w:ilvl w:val="0"/>
          <w:numId w:val="1002"/>
        </w:numPr>
      </w:pPr>
      <w:r>
        <w:rPr>
          <w:b/>
          <w:bCs/>
        </w:rPr>
        <w:t xml:space="preserve">Expected exploitation route</w:t>
      </w:r>
      <w:r>
        <w:t xml:space="preserve"> </w:t>
      </w:r>
      <w:r>
        <w:t xml:space="preserve">(in-house / licensing / spin-out / joint venture / open source / open access / standardisation contribution / other):</w:t>
      </w:r>
    </w:p>
    <w:p>
      <w:pPr>
        <w:pStyle w:val="Compact"/>
        <w:numPr>
          <w:ilvl w:val="0"/>
          <w:numId w:val="1002"/>
        </w:numPr>
      </w:pPr>
      <w:r>
        <w:rPr>
          <w:b/>
          <w:bCs/>
        </w:rPr>
        <w:t xml:space="preserve">Expected time to market or deployment</w:t>
      </w:r>
      <w:r>
        <w:t xml:space="preserve"> </w:t>
      </w:r>
      <w:r>
        <w:t xml:space="preserve">(months from project end):</w:t>
      </w:r>
    </w:p>
    <w:p>
      <w:pPr>
        <w:pStyle w:val="Compact"/>
        <w:numPr>
          <w:ilvl w:val="0"/>
          <w:numId w:val="1002"/>
        </w:numPr>
      </w:pPr>
      <w:r>
        <w:rPr>
          <w:b/>
          <w:bCs/>
        </w:rPr>
        <w:t xml:space="preserve">Estimated cumulative revenue / deployment at 4 years post-project</w:t>
      </w:r>
      <w:r>
        <w:t xml:space="preserve">:</w:t>
      </w:r>
    </w:p>
    <w:bookmarkEnd w:id="11"/>
    <w:bookmarkStart w:id="12" w:name="result-2-3-repeat-as-needed"/>
    <w:p>
      <w:pPr>
        <w:pStyle w:val="Heading3"/>
      </w:pPr>
      <w:r>
        <w:t xml:space="preserve">Result [2], [3], … — repeat as needed</w:t>
      </w:r>
    </w:p>
    <w:p>
      <w:pPr>
        <w:pStyle w:val="FirstParagraph"/>
      </w:pPr>
      <w:r>
        <w:rPr>
          <w:i/>
          <w:iCs/>
        </w:rPr>
        <w:t xml:space="preserve">(Add a Result block for every additional result. Use</w:t>
      </w:r>
      <w:r>
        <w:rPr>
          <w:i/>
          <w:iCs/>
        </w:rPr>
        <w:t xml:space="preserve"> </w:t>
      </w:r>
      <w:r>
        <w:rPr>
          <w:rStyle w:val="VerbatimChar"/>
          <w:i/>
          <w:iCs/>
        </w:rPr>
        <w:t xml:space="preserve">Result [n]</w:t>
      </w:r>
      <w:r>
        <w:rPr>
          <w:i/>
          <w:iCs/>
        </w:rPr>
        <w:t xml:space="preserve"> </w:t>
      </w:r>
      <w:r>
        <w:rPr>
          <w:i/>
          <w:iCs/>
        </w:rPr>
        <w:t xml:space="preserve">numbering.)</w:t>
      </w:r>
    </w:p>
    <w:p>
      <w:r>
        <w:pict>
          <v:rect style="width:0;height:1.5pt" o:hralign="center" o:hrstd="t" o:hr="t"/>
        </w:pict>
      </w:r>
    </w:p>
    <w:bookmarkEnd w:id="12"/>
    <w:bookmarkEnd w:id="13"/>
    <w:bookmarkStart w:id="16" w:name="Xee60108e4dd211b3d79230397a2aeb7f02074f7"/>
    <w:p>
      <w:pPr>
        <w:pStyle w:val="Heading2"/>
      </w:pPr>
      <w:r>
        <w:t xml:space="preserve">Section 2 — Results Ownership List (BLOCKING for final Periodic Report)</w:t>
      </w:r>
    </w:p>
    <w:p>
      <w:pPr>
        <w:pStyle w:val="FirstParagraph"/>
      </w:pPr>
      <w:r>
        <w:rPr>
          <w:i/>
          <w:iCs/>
        </w:rPr>
        <w:t xml:space="preserve">Under the Grant Agreement, the Results Ownership List (ROL) is required.</w:t>
      </w:r>
      <w:r>
        <w:rPr>
          <w:i/>
          <w:iCs/>
        </w:rPr>
        <w:t xml:space="preserve"> </w:t>
      </w:r>
      <w:r>
        <w:rPr>
          <w:b/>
          <w:bCs/>
          <w:i/>
          <w:iCs/>
        </w:rPr>
        <w:t xml:space="preserve">Submission of the last Periodic Report is blocked if this table is not filled in.</w:t>
      </w:r>
      <w:r>
        <w:rPr>
          <w:i/>
          <w:iCs/>
        </w:rPr>
        <w:t xml:space="preserve"> </w:t>
      </w:r>
      <w:r>
        <w:rPr>
          <w:i/>
          <w:iCs/>
        </w:rPr>
        <w:t xml:space="preserve">List every result that you own (in whole or in part) — including joint ownership with other SUREWAVE partners or with third parties.</w:t>
      </w:r>
    </w:p>
    <w:p>
      <w:pPr>
        <w:pStyle w:val="BodyText"/>
      </w:pPr>
      <w:r>
        <w:rPr>
          <w:i/>
          <w:iCs/>
        </w:rPr>
        <w:t xml:space="preserve">Copy the block below once per result.</w:t>
      </w:r>
    </w:p>
    <w:bookmarkStart w:id="14" w:name="owned-result-1"/>
    <w:p>
      <w:pPr>
        <w:pStyle w:val="Heading3"/>
      </w:pPr>
      <w:r>
        <w:t xml:space="preserve">Owned result [1]</w:t>
      </w:r>
    </w:p>
    <w:p>
      <w:pPr>
        <w:pStyle w:val="Compact"/>
        <w:numPr>
          <w:ilvl w:val="0"/>
          <w:numId w:val="1051"/>
        </w:numPr>
      </w:pPr>
      <w:r>
        <w:rPr>
          <w:b/>
          <w:bCs/>
        </w:rPr>
        <w:t xml:space="preserve">Result name</w:t>
      </w:r>
      <w:r>
        <w:t xml:space="preserve"> </w:t>
      </w:r>
      <w:r>
        <w:t xml:space="preserve">(must match a result named in Section 1 above):</w:t>
      </w:r>
    </w:p>
    <w:p>
      <w:pPr>
        <w:pStyle w:val="Compact"/>
        <w:numPr>
          <w:ilvl w:val="0"/>
          <w:numId w:val="1051"/>
        </w:numPr>
      </w:pPr>
      <w:r>
        <w:rPr>
          <w:b/>
          <w:bCs/>
        </w:rPr>
        <w:t xml:space="preserve">Single or joint ownership?</w:t>
      </w:r>
      <w:r>
        <w:t xml:space="preserve"> </w:t>
      </w:r>
      <w:r>
        <w:t xml:space="preserve">[ ] Single / [ ] Joint</w:t>
      </w:r>
    </w:p>
    <w:p>
      <w:pPr>
        <w:pStyle w:val="Compact"/>
        <w:numPr>
          <w:ilvl w:val="0"/>
          <w:numId w:val="1051"/>
        </w:numPr>
      </w:pPr>
      <w:r>
        <w:rPr>
          <w:b/>
          <w:bCs/>
        </w:rPr>
        <w:t xml:space="preserve">Number of owners</w:t>
      </w:r>
      <w:r>
        <w:t xml:space="preserve">:</w:t>
      </w:r>
    </w:p>
    <w:p>
      <w:pPr>
        <w:pStyle w:val="Compact"/>
        <w:numPr>
          <w:ilvl w:val="0"/>
          <w:numId w:val="1051"/>
        </w:numPr>
      </w:pPr>
      <w:r>
        <w:rPr>
          <w:b/>
          <w:bCs/>
        </w:rPr>
        <w:t xml:space="preserve">Owner name(s)</w:t>
      </w:r>
      <w:r>
        <w:t xml:space="preserve"> </w:t>
      </w:r>
      <w:r>
        <w:t xml:space="preserve">(one per line — entity name or individual name):</w:t>
      </w:r>
    </w:p>
    <w:p>
      <w:pPr>
        <w:pStyle w:val="Compact"/>
        <w:numPr>
          <w:ilvl w:val="0"/>
          <w:numId w:val="1051"/>
        </w:numPr>
      </w:pPr>
      <w:r>
        <w:rPr>
          <w:b/>
          <w:bCs/>
        </w:rPr>
        <w:t xml:space="preserve">Owner type</w:t>
      </w:r>
      <w:r>
        <w:t xml:space="preserve"> </w:t>
      </w:r>
      <w:r>
        <w:t xml:space="preserve">(per owner: Entity — from project partners list or Other; or Individual — researcher in project):</w:t>
      </w:r>
    </w:p>
    <w:p>
      <w:pPr>
        <w:pStyle w:val="Compact"/>
        <w:numPr>
          <w:ilvl w:val="0"/>
          <w:numId w:val="1051"/>
        </w:numPr>
      </w:pPr>
      <w:r>
        <w:rPr>
          <w:b/>
          <w:bCs/>
        </w:rPr>
        <w:t xml:space="preserve">Country of establishment</w:t>
      </w:r>
      <w:r>
        <w:t xml:space="preserve"> </w:t>
      </w:r>
      <w:r>
        <w:t xml:space="preserve">(per owner):</w:t>
      </w:r>
    </w:p>
    <w:p>
      <w:pPr>
        <w:pStyle w:val="Compact"/>
        <w:numPr>
          <w:ilvl w:val="0"/>
          <w:numId w:val="1051"/>
        </w:numPr>
      </w:pPr>
      <w:r>
        <w:rPr>
          <w:b/>
          <w:bCs/>
        </w:rPr>
        <w:t xml:space="preserve">For</w:t>
      </w:r>
      <w:r>
        <w:rPr>
          <w:b/>
          <w:bCs/>
        </w:rPr>
        <w:t xml:space="preserve"> </w:t>
      </w:r>
      <w:r>
        <w:rPr>
          <w:b/>
          <w:bCs/>
        </w:rPr>
        <w:t xml:space="preserve">“Other”</w:t>
      </w:r>
      <w:r>
        <w:rPr>
          <w:b/>
          <w:bCs/>
        </w:rPr>
        <w:t xml:space="preserve"> </w:t>
      </w:r>
      <w:r>
        <w:rPr>
          <w:b/>
          <w:bCs/>
        </w:rPr>
        <w:t xml:space="preserve">entity owners</w:t>
      </w:r>
      <w:r>
        <w:t xml:space="preserve">: name, address, country, VAT / identifier:</w:t>
      </w:r>
    </w:p>
    <w:p>
      <w:pPr>
        <w:pStyle w:val="Compact"/>
        <w:numPr>
          <w:ilvl w:val="0"/>
          <w:numId w:val="1051"/>
        </w:numPr>
      </w:pPr>
      <w:r>
        <w:rPr>
          <w:b/>
          <w:bCs/>
        </w:rPr>
        <w:t xml:space="preserve">Will the owners exploit the result?</w:t>
      </w:r>
      <w:r>
        <w:t xml:space="preserve"> </w:t>
      </w:r>
      <w:r>
        <w:t xml:space="preserve">[ ] Yes / [ ] No</w:t>
      </w:r>
    </w:p>
    <w:p>
      <w:pPr>
        <w:pStyle w:val="Compact"/>
        <w:numPr>
          <w:ilvl w:val="0"/>
          <w:numId w:val="1051"/>
        </w:numPr>
      </w:pPr>
      <w:r>
        <w:rPr>
          <w:b/>
          <w:bCs/>
        </w:rPr>
        <w:t xml:space="preserve">In which form will the result be made available to other consortium members and/or third parties?</w:t>
      </w:r>
      <w:r>
        <w:t xml:space="preserve"> </w:t>
      </w:r>
      <w:r>
        <w:t xml:space="preserve">(multi-select):</w:t>
      </w:r>
    </w:p>
    <w:p>
      <w:pPr>
        <w:pStyle w:val="Compact"/>
        <w:numPr>
          <w:ilvl w:val="1"/>
          <w:numId w:val="1052"/>
        </w:numPr>
      </w:pPr>
      <w:r>
        <w:t xml:space="preserve">Sale of IP</w:t>
      </w:r>
    </w:p>
    <w:p>
      <w:pPr>
        <w:pStyle w:val="Compact"/>
        <w:numPr>
          <w:ilvl w:val="1"/>
          <w:numId w:val="1053"/>
        </w:numPr>
      </w:pPr>
      <w:r>
        <w:t xml:space="preserve">Licensing</w:t>
      </w:r>
    </w:p>
    <w:p>
      <w:pPr>
        <w:pStyle w:val="Compact"/>
        <w:numPr>
          <w:ilvl w:val="1"/>
          <w:numId w:val="1054"/>
        </w:numPr>
      </w:pPr>
      <w:r>
        <w:t xml:space="preserve">Open access</w:t>
      </w:r>
    </w:p>
    <w:p>
      <w:pPr>
        <w:pStyle w:val="Compact"/>
        <w:numPr>
          <w:ilvl w:val="1"/>
          <w:numId w:val="1055"/>
        </w:numPr>
      </w:pPr>
      <w:r>
        <w:t xml:space="preserve">Open source</w:t>
      </w:r>
    </w:p>
    <w:p>
      <w:pPr>
        <w:pStyle w:val="Compact"/>
        <w:numPr>
          <w:ilvl w:val="1"/>
          <w:numId w:val="1056"/>
        </w:numPr>
      </w:pPr>
      <w:r>
        <w:t xml:space="preserve">Free license</w:t>
      </w:r>
    </w:p>
    <w:p>
      <w:pPr>
        <w:pStyle w:val="Compact"/>
        <w:numPr>
          <w:ilvl w:val="1"/>
          <w:numId w:val="1057"/>
        </w:numPr>
      </w:pPr>
      <w:r>
        <w:t xml:space="preserve">Secret / non-disclosure agreement</w:t>
      </w:r>
    </w:p>
    <w:p>
      <w:pPr>
        <w:pStyle w:val="Compact"/>
        <w:numPr>
          <w:ilvl w:val="1"/>
          <w:numId w:val="1058"/>
        </w:numPr>
      </w:pPr>
      <w:r>
        <w:t xml:space="preserve">Other:</w:t>
      </w:r>
    </w:p>
    <w:p>
      <w:pPr>
        <w:pStyle w:val="Compact"/>
        <w:numPr>
          <w:ilvl w:val="1"/>
          <w:numId w:val="1059"/>
        </w:numPr>
      </w:pPr>
      <w:r>
        <w:t xml:space="preserve">N/A</w:t>
      </w:r>
    </w:p>
    <w:p>
      <w:pPr>
        <w:pStyle w:val="Compact"/>
        <w:numPr>
          <w:ilvl w:val="0"/>
          <w:numId w:val="1051"/>
        </w:numPr>
      </w:pPr>
      <w:r>
        <w:rPr>
          <w:b/>
          <w:bCs/>
        </w:rPr>
        <w:t xml:space="preserve">Does the exploitation of this result require access to background of one or several consortium members?</w:t>
      </w:r>
      <w:r>
        <w:t xml:space="preserve"> </w:t>
      </w:r>
      <w:r>
        <w:t xml:space="preserve">[ ] Yes / [ ] No</w:t>
      </w:r>
    </w:p>
    <w:p>
      <w:pPr>
        <w:pStyle w:val="Compact"/>
        <w:numPr>
          <w:ilvl w:val="1"/>
          <w:numId w:val="1060"/>
        </w:numPr>
      </w:pPr>
      <w:r>
        <w:t xml:space="preserve">If Yes — describe the measures taken or envisaged to give access to the required background:</w:t>
      </w:r>
    </w:p>
    <w:p>
      <w:pPr>
        <w:pStyle w:val="Compact"/>
        <w:numPr>
          <w:ilvl w:val="0"/>
          <w:numId w:val="1051"/>
        </w:numPr>
      </w:pPr>
      <w:r>
        <w:rPr>
          <w:b/>
          <w:bCs/>
        </w:rPr>
        <w:t xml:space="preserve">Does the exploitation of this result require access to third-party IPR?</w:t>
      </w:r>
      <w:r>
        <w:t xml:space="preserve"> </w:t>
      </w:r>
      <w:r>
        <w:t xml:space="preserve">[ ] Yes / [ ] No / [ ] Not known</w:t>
      </w:r>
    </w:p>
    <w:p>
      <w:pPr>
        <w:pStyle w:val="Compact"/>
        <w:numPr>
          <w:ilvl w:val="1"/>
          <w:numId w:val="1061"/>
        </w:numPr>
      </w:pPr>
      <w:r>
        <w:t xml:space="preserve">If Yes — describe the measures taken or envisaged to get access to the required IPR:</w:t>
      </w:r>
    </w:p>
    <w:bookmarkEnd w:id="14"/>
    <w:bookmarkStart w:id="15" w:name="owned-result-2-3-repeat-as-needed"/>
    <w:p>
      <w:pPr>
        <w:pStyle w:val="Heading3"/>
      </w:pPr>
      <w:r>
        <w:t xml:space="preserve">Owned result [2], [3], … — repeat as needed</w:t>
      </w:r>
    </w:p>
    <w:p>
      <w:r>
        <w:pict>
          <v:rect style="width:0;height:1.5pt" o:hralign="center" o:hrstd="t" o:hr="t"/>
        </w:pict>
      </w:r>
    </w:p>
    <w:bookmarkEnd w:id="15"/>
    <w:bookmarkEnd w:id="16"/>
    <w:bookmarkStart w:id="19" w:name="section-3-publications"/>
    <w:p>
      <w:pPr>
        <w:pStyle w:val="Heading2"/>
      </w:pPr>
      <w:r>
        <w:t xml:space="preserve">Section 3 — Publications</w:t>
      </w:r>
    </w:p>
    <w:p>
      <w:pPr>
        <w:pStyle w:val="FirstParagraph"/>
      </w:pPr>
      <w:r>
        <w:rPr>
          <w:i/>
          <w:iCs/>
        </w:rPr>
        <w:t xml:space="preserve">List every peer-reviewed publication (journal article, conference proceeding, workshop paper, book, chapter, thesis, dissertation) generated in the project. Publications already registered via OpenAIRE will be auto-populated in the CRM; the coordinator only needs to link them to the project. For publications not in OpenAIRE, provide the DOI and the CRM completes the remaining fields automatically.</w:t>
      </w:r>
    </w:p>
    <w:p>
      <w:pPr>
        <w:pStyle w:val="BodyText"/>
      </w:pPr>
      <w:r>
        <w:rPr>
          <w:b/>
          <w:bCs/>
        </w:rPr>
        <w:t xml:space="preserve">Reminder:</w:t>
      </w:r>
      <w:r>
        <w:t xml:space="preserve"> </w:t>
      </w:r>
      <w:r>
        <w:t xml:space="preserve">Open access is mandatory. Deposit in a trusted repository at the time of publication, under</w:t>
      </w:r>
      <w:r>
        <w:t xml:space="preserve"> </w:t>
      </w:r>
      <w:r>
        <w:rPr>
          <w:b/>
          <w:bCs/>
        </w:rPr>
        <w:t xml:space="preserve">CC BY</w:t>
      </w:r>
      <w:r>
        <w:t xml:space="preserve"> </w:t>
      </w:r>
      <w:r>
        <w:t xml:space="preserve">(or CC BY-NC / CC BY-ND for long-text formats). Metadata must be</w:t>
      </w:r>
      <w:r>
        <w:t xml:space="preserve"> </w:t>
      </w:r>
      <w:r>
        <w:rPr>
          <w:b/>
          <w:bCs/>
        </w:rPr>
        <w:t xml:space="preserve">CC0</w:t>
      </w:r>
      <w:r>
        <w:t xml:space="preserve">, machine-actionable, and include HE funding acknowledgement.</w:t>
      </w:r>
      <w:r>
        <w:t xml:space="preserve"> </w:t>
      </w:r>
      <w:r>
        <w:rPr>
          <w:b/>
          <w:bCs/>
        </w:rPr>
        <w:t xml:space="preserve">APCs paid to hybrid publishing venues are non-eligible costs</w:t>
      </w:r>
      <w:r>
        <w:t xml:space="preserve"> </w:t>
      </w:r>
      <w:r>
        <w:t xml:space="preserve">under Horizon Europe — only APCs in full open-access venues are reimbursable.</w:t>
      </w:r>
    </w:p>
    <w:p>
      <w:pPr>
        <w:pStyle w:val="BodyText"/>
      </w:pPr>
      <w:r>
        <w:rPr>
          <w:i/>
          <w:iCs/>
        </w:rPr>
        <w:t xml:space="preserve">Copy the block below once per publication.</w:t>
      </w:r>
    </w:p>
    <w:bookmarkStart w:id="17" w:name="publication-1"/>
    <w:p>
      <w:pPr>
        <w:pStyle w:val="Heading3"/>
      </w:pPr>
      <w:r>
        <w:t xml:space="preserve">Publication [1]</w:t>
      </w:r>
    </w:p>
    <w:p>
      <w:pPr>
        <w:pStyle w:val="Compact"/>
        <w:numPr>
          <w:ilvl w:val="0"/>
          <w:numId w:val="1062"/>
        </w:numPr>
      </w:pPr>
      <w:r>
        <w:rPr>
          <w:b/>
          <w:bCs/>
        </w:rPr>
        <w:t xml:space="preserve">Type of publication</w:t>
      </w:r>
      <w:r>
        <w:t xml:space="preserve"> </w:t>
      </w:r>
      <w:r>
        <w:t xml:space="preserve">(single choice):</w:t>
      </w:r>
    </w:p>
    <w:p>
      <w:pPr>
        <w:pStyle w:val="Compact"/>
        <w:numPr>
          <w:ilvl w:val="1"/>
          <w:numId w:val="1063"/>
        </w:numPr>
      </w:pPr>
      <w:r>
        <w:t xml:space="preserve">Article in journal</w:t>
      </w:r>
    </w:p>
    <w:p>
      <w:pPr>
        <w:pStyle w:val="Compact"/>
        <w:numPr>
          <w:ilvl w:val="1"/>
          <w:numId w:val="1064"/>
        </w:numPr>
      </w:pPr>
      <w:r>
        <w:t xml:space="preserve">Publication in conference proceeding / workshop</w:t>
      </w:r>
    </w:p>
    <w:p>
      <w:pPr>
        <w:pStyle w:val="Compact"/>
        <w:numPr>
          <w:ilvl w:val="1"/>
          <w:numId w:val="1065"/>
        </w:numPr>
      </w:pPr>
      <w:r>
        <w:t xml:space="preserve">Book / monograph</w:t>
      </w:r>
    </w:p>
    <w:p>
      <w:pPr>
        <w:pStyle w:val="Compact"/>
        <w:numPr>
          <w:ilvl w:val="1"/>
          <w:numId w:val="1066"/>
        </w:numPr>
      </w:pPr>
      <w:r>
        <w:t xml:space="preserve">Chapter in book</w:t>
      </w:r>
    </w:p>
    <w:p>
      <w:pPr>
        <w:pStyle w:val="Compact"/>
        <w:numPr>
          <w:ilvl w:val="1"/>
          <w:numId w:val="1067"/>
        </w:numPr>
      </w:pPr>
      <w:r>
        <w:t xml:space="preserve">Thesis / dissertation</w:t>
      </w:r>
    </w:p>
    <w:p>
      <w:pPr>
        <w:pStyle w:val="Compact"/>
        <w:numPr>
          <w:ilvl w:val="1"/>
          <w:numId w:val="1068"/>
        </w:numPr>
      </w:pPr>
      <w:r>
        <w:t xml:space="preserve">Other:</w:t>
      </w:r>
    </w:p>
    <w:p>
      <w:pPr>
        <w:pStyle w:val="Compact"/>
        <w:numPr>
          <w:ilvl w:val="0"/>
          <w:numId w:val="1062"/>
        </w:numPr>
      </w:pPr>
      <w:r>
        <w:rPr>
          <w:b/>
          <w:bCs/>
        </w:rPr>
        <w:t xml:space="preserve">Peer-reviewed?</w:t>
      </w:r>
      <w:r>
        <w:t xml:space="preserve"> </w:t>
      </w:r>
      <w:r>
        <w:t xml:space="preserve">[ ] Yes / [ ] No</w:t>
      </w:r>
    </w:p>
    <w:p>
      <w:pPr>
        <w:pStyle w:val="Compact"/>
        <w:numPr>
          <w:ilvl w:val="0"/>
          <w:numId w:val="1062"/>
        </w:numPr>
      </w:pPr>
      <w:r>
        <w:rPr>
          <w:b/>
          <w:bCs/>
        </w:rPr>
        <w:t xml:space="preserve">PID type</w:t>
      </w:r>
      <w:r>
        <w:t xml:space="preserve"> </w:t>
      </w:r>
      <w:r>
        <w:t xml:space="preserve">(DOI / handle / ARK / URI / pURL / other / none):</w:t>
      </w:r>
    </w:p>
    <w:p>
      <w:pPr>
        <w:pStyle w:val="Compact"/>
        <w:numPr>
          <w:ilvl w:val="0"/>
          <w:numId w:val="1062"/>
        </w:numPr>
      </w:pPr>
      <w:r>
        <w:rPr>
          <w:b/>
          <w:bCs/>
        </w:rPr>
        <w:t xml:space="preserve">PID of deposited publication</w:t>
      </w:r>
      <w:r>
        <w:t xml:space="preserve"> </w:t>
      </w:r>
      <w:r>
        <w:t xml:space="preserve">(repository record):</w:t>
      </w:r>
    </w:p>
    <w:p>
      <w:pPr>
        <w:pStyle w:val="Compact"/>
        <w:numPr>
          <w:ilvl w:val="0"/>
          <w:numId w:val="1062"/>
        </w:numPr>
      </w:pPr>
      <w:r>
        <w:rPr>
          <w:b/>
          <w:bCs/>
        </w:rPr>
        <w:t xml:space="preserve">Link to publication</w:t>
      </w:r>
      <w:r>
        <w:t xml:space="preserve"> </w:t>
      </w:r>
      <w:r>
        <w:t xml:space="preserve">(if no PID):</w:t>
      </w:r>
    </w:p>
    <w:p>
      <w:pPr>
        <w:pStyle w:val="Compact"/>
        <w:numPr>
          <w:ilvl w:val="0"/>
          <w:numId w:val="1062"/>
        </w:numPr>
      </w:pPr>
      <w:r>
        <w:rPr>
          <w:b/>
          <w:bCs/>
        </w:rPr>
        <w:t xml:space="preserve">Title of publication</w:t>
      </w:r>
      <w:r>
        <w:t xml:space="preserve"> </w:t>
      </w:r>
      <w:r>
        <w:t xml:space="preserve">(for book chapter: title of chapter):</w:t>
      </w:r>
    </w:p>
    <w:p>
      <w:pPr>
        <w:pStyle w:val="Compact"/>
        <w:numPr>
          <w:ilvl w:val="0"/>
          <w:numId w:val="1062"/>
        </w:numPr>
      </w:pPr>
      <w:r>
        <w:rPr>
          <w:b/>
          <w:bCs/>
        </w:rPr>
        <w:t xml:space="preserve">PID of publisher version</w:t>
      </w:r>
      <w:r>
        <w:t xml:space="preserve"> </w:t>
      </w:r>
      <w:r>
        <w:t xml:space="preserve">(record):</w:t>
      </w:r>
    </w:p>
    <w:p>
      <w:pPr>
        <w:pStyle w:val="Compact"/>
        <w:numPr>
          <w:ilvl w:val="0"/>
          <w:numId w:val="1062"/>
        </w:numPr>
      </w:pPr>
      <w:r>
        <w:rPr>
          <w:b/>
          <w:bCs/>
        </w:rPr>
        <w:t xml:space="preserve">ISSN / eISSN</w:t>
      </w:r>
      <w:r>
        <w:t xml:space="preserve"> </w:t>
      </w:r>
      <w:r>
        <w:t xml:space="preserve">(or ISBN for books):</w:t>
      </w:r>
    </w:p>
    <w:p>
      <w:pPr>
        <w:pStyle w:val="Compact"/>
        <w:numPr>
          <w:ilvl w:val="0"/>
          <w:numId w:val="1062"/>
        </w:numPr>
      </w:pPr>
      <w:r>
        <w:rPr>
          <w:b/>
          <w:bCs/>
        </w:rPr>
        <w:t xml:space="preserve">Authors</w:t>
      </w:r>
      <w:r>
        <w:t xml:space="preserve">:</w:t>
      </w:r>
    </w:p>
    <w:p>
      <w:pPr>
        <w:pStyle w:val="Compact"/>
        <w:numPr>
          <w:ilvl w:val="0"/>
          <w:numId w:val="1062"/>
        </w:numPr>
      </w:pPr>
      <w:r>
        <w:rPr>
          <w:b/>
          <w:bCs/>
        </w:rPr>
        <w:t xml:space="preserve">Title of journal or equivalent</w:t>
      </w:r>
      <w:r>
        <w:t xml:space="preserve">:</w:t>
      </w:r>
    </w:p>
    <w:p>
      <w:pPr>
        <w:pStyle w:val="Compact"/>
        <w:numPr>
          <w:ilvl w:val="0"/>
          <w:numId w:val="1062"/>
        </w:numPr>
      </w:pPr>
      <w:r>
        <w:rPr>
          <w:b/>
          <w:bCs/>
        </w:rPr>
        <w:t xml:space="preserve">Journal number</w:t>
      </w:r>
      <w:r>
        <w:t xml:space="preserve">:</w:t>
      </w:r>
    </w:p>
    <w:p>
      <w:pPr>
        <w:pStyle w:val="Compact"/>
        <w:numPr>
          <w:ilvl w:val="0"/>
          <w:numId w:val="1062"/>
        </w:numPr>
      </w:pPr>
      <w:r>
        <w:rPr>
          <w:b/>
          <w:bCs/>
        </w:rPr>
        <w:t xml:space="preserve">Publisher</w:t>
      </w:r>
      <w:r>
        <w:t xml:space="preserve">:</w:t>
      </w:r>
    </w:p>
    <w:p>
      <w:pPr>
        <w:pStyle w:val="Compact"/>
        <w:numPr>
          <w:ilvl w:val="0"/>
          <w:numId w:val="1062"/>
        </w:numPr>
      </w:pPr>
      <w:r>
        <w:rPr>
          <w:b/>
          <w:bCs/>
        </w:rPr>
        <w:t xml:space="preserve">Month and year of publication</w:t>
      </w:r>
      <w:r>
        <w:t xml:space="preserve">:</w:t>
      </w:r>
    </w:p>
    <w:p>
      <w:pPr>
        <w:pStyle w:val="Compact"/>
        <w:numPr>
          <w:ilvl w:val="0"/>
          <w:numId w:val="1062"/>
        </w:numPr>
      </w:pPr>
      <w:r>
        <w:rPr>
          <w:b/>
          <w:bCs/>
        </w:rPr>
        <w:t xml:space="preserve">PID of book</w:t>
      </w:r>
      <w:r>
        <w:t xml:space="preserve"> </w:t>
      </w:r>
      <w:r>
        <w:t xml:space="preserve">(if book chapter):</w:t>
      </w:r>
    </w:p>
    <w:p>
      <w:pPr>
        <w:pStyle w:val="Compact"/>
        <w:numPr>
          <w:ilvl w:val="0"/>
          <w:numId w:val="1062"/>
        </w:numPr>
      </w:pPr>
      <w:r>
        <w:rPr>
          <w:b/>
          <w:bCs/>
        </w:rPr>
        <w:t xml:space="preserve">Book title</w:t>
      </w:r>
      <w:r>
        <w:t xml:space="preserve"> </w:t>
      </w:r>
      <w:r>
        <w:t xml:space="preserve">(if book chapter):</w:t>
      </w:r>
    </w:p>
    <w:p>
      <w:pPr>
        <w:pStyle w:val="Compact"/>
        <w:numPr>
          <w:ilvl w:val="0"/>
          <w:numId w:val="1062"/>
        </w:numPr>
      </w:pPr>
      <w:r>
        <w:rPr>
          <w:b/>
          <w:bCs/>
        </w:rPr>
        <w:t xml:space="preserve">Was the publication available in open access through the repository at the time of publication?</w:t>
      </w:r>
      <w:r>
        <w:t xml:space="preserve"> </w:t>
      </w:r>
      <w:r>
        <w:t xml:space="preserve">[ ] Yes / [ ] No</w:t>
      </w:r>
    </w:p>
    <w:p>
      <w:pPr>
        <w:pStyle w:val="Compact"/>
        <w:numPr>
          <w:ilvl w:val="0"/>
          <w:numId w:val="1062"/>
        </w:numPr>
      </w:pPr>
      <w:r>
        <w:rPr>
          <w:b/>
          <w:bCs/>
        </w:rPr>
        <w:t xml:space="preserve">Did you charge OA publishing fees (APC) to the project?</w:t>
      </w:r>
      <w:r>
        <w:t xml:space="preserve"> </w:t>
      </w:r>
      <w:r>
        <w:t xml:space="preserve">[ ] Yes / [ ] No</w:t>
      </w:r>
    </w:p>
    <w:p>
      <w:pPr>
        <w:pStyle w:val="Compact"/>
        <w:numPr>
          <w:ilvl w:val="1"/>
          <w:numId w:val="1069"/>
        </w:numPr>
      </w:pPr>
      <w:r>
        <w:t xml:space="preserve">If Yes — amount:</w:t>
      </w:r>
    </w:p>
    <w:p>
      <w:pPr>
        <w:pStyle w:val="Compact"/>
        <w:numPr>
          <w:ilvl w:val="1"/>
          <w:numId w:val="1069"/>
        </w:numPr>
      </w:pPr>
      <w:r>
        <w:rPr>
          <w:b/>
          <w:bCs/>
        </w:rPr>
        <w:t xml:space="preserve">Reminder</w:t>
      </w:r>
      <w:r>
        <w:t xml:space="preserve">: APCs paid to hybrid publishing venues are non-eligible costs under Horizon Europe.</w:t>
      </w:r>
    </w:p>
    <w:p>
      <w:pPr>
        <w:pStyle w:val="Compact"/>
        <w:numPr>
          <w:ilvl w:val="0"/>
          <w:numId w:val="1062"/>
        </w:numPr>
      </w:pPr>
      <w:r>
        <w:rPr>
          <w:b/>
          <w:bCs/>
        </w:rPr>
        <w:t xml:space="preserve">Licence type</w:t>
      </w:r>
      <w:r>
        <w:t xml:space="preserve">:</w:t>
      </w:r>
    </w:p>
    <w:p>
      <w:pPr>
        <w:pStyle w:val="Compact"/>
        <w:numPr>
          <w:ilvl w:val="1"/>
          <w:numId w:val="1070"/>
        </w:numPr>
      </w:pPr>
      <w:r>
        <w:t xml:space="preserve">CC BY (or equivalent)</w:t>
      </w:r>
    </w:p>
    <w:p>
      <w:pPr>
        <w:pStyle w:val="Compact"/>
        <w:numPr>
          <w:ilvl w:val="1"/>
          <w:numId w:val="1071"/>
        </w:numPr>
      </w:pPr>
      <w:r>
        <w:t xml:space="preserve">CC BY-NC (or equivalent)</w:t>
      </w:r>
    </w:p>
    <w:p>
      <w:pPr>
        <w:pStyle w:val="Compact"/>
        <w:numPr>
          <w:ilvl w:val="1"/>
          <w:numId w:val="1072"/>
        </w:numPr>
      </w:pPr>
      <w:r>
        <w:t xml:space="preserve">CC BY-ND (or equivalent)</w:t>
      </w:r>
    </w:p>
    <w:p>
      <w:pPr>
        <w:pStyle w:val="Compact"/>
        <w:numPr>
          <w:ilvl w:val="1"/>
          <w:numId w:val="1073"/>
        </w:numPr>
      </w:pPr>
      <w:r>
        <w:t xml:space="preserve">Other:</w:t>
      </w:r>
    </w:p>
    <w:bookmarkEnd w:id="17"/>
    <w:bookmarkStart w:id="18" w:name="publication-2-3-repeat-as-needed"/>
    <w:p>
      <w:pPr>
        <w:pStyle w:val="Heading3"/>
      </w:pPr>
      <w:r>
        <w:t xml:space="preserve">Publication [2], [3], … — repeat as needed</w:t>
      </w:r>
    </w:p>
    <w:p>
      <w:r>
        <w:pict>
          <v:rect style="width:0;height:1.5pt" o:hralign="center" o:hrstd="t" o:hr="t"/>
        </w:pict>
      </w:r>
    </w:p>
    <w:bookmarkEnd w:id="18"/>
    <w:bookmarkEnd w:id="19"/>
    <w:bookmarkStart w:id="22" w:name="section-4-datasets"/>
    <w:p>
      <w:pPr>
        <w:pStyle w:val="Heading2"/>
      </w:pPr>
      <w:r>
        <w:t xml:space="preserve">Section 4 — Datasets</w:t>
      </w:r>
    </w:p>
    <w:p>
      <w:pPr>
        <w:pStyle w:val="FirstParagraph"/>
      </w:pPr>
      <w:r>
        <w:rPr>
          <w:i/>
          <w:iCs/>
        </w:rPr>
        <w:t xml:space="preserve">List every digital research dataset generated in the action. Data must be managed in line with the FAIR principles and, unless justified in the DMP, made openly accessible under CC BY or CC0. SUREWAVE default per D1.7 is CC BY-NC for non-commercially-sensitive research data.</w:t>
      </w:r>
    </w:p>
    <w:p>
      <w:pPr>
        <w:pStyle w:val="BodyText"/>
      </w:pPr>
      <w:r>
        <w:rPr>
          <w:i/>
          <w:iCs/>
        </w:rPr>
        <w:t xml:space="preserve">Copy the block below once per dataset.</w:t>
      </w:r>
    </w:p>
    <w:bookmarkStart w:id="20" w:name="dataset-1"/>
    <w:p>
      <w:pPr>
        <w:pStyle w:val="Heading3"/>
      </w:pPr>
      <w:r>
        <w:t xml:space="preserve">Dataset [1]</w:t>
      </w:r>
    </w:p>
    <w:p>
      <w:pPr>
        <w:pStyle w:val="Compact"/>
        <w:numPr>
          <w:ilvl w:val="0"/>
          <w:numId w:val="1074"/>
        </w:numPr>
      </w:pPr>
      <w:r>
        <w:rPr>
          <w:b/>
          <w:bCs/>
        </w:rPr>
        <w:t xml:space="preserve">Description of dataset</w:t>
      </w:r>
      <w:r>
        <w:t xml:space="preserve">:</w:t>
      </w:r>
    </w:p>
    <w:p>
      <w:pPr>
        <w:pStyle w:val="Compact"/>
        <w:numPr>
          <w:ilvl w:val="0"/>
          <w:numId w:val="1074"/>
        </w:numPr>
      </w:pPr>
      <w:r>
        <w:rPr>
          <w:b/>
          <w:bCs/>
        </w:rPr>
        <w:t xml:space="preserve">PID type</w:t>
      </w:r>
      <w:r>
        <w:t xml:space="preserve"> </w:t>
      </w:r>
      <w:r>
        <w:t xml:space="preserve">(DOI / handle / ARK / URI / other):</w:t>
      </w:r>
    </w:p>
    <w:p>
      <w:pPr>
        <w:pStyle w:val="Compact"/>
        <w:numPr>
          <w:ilvl w:val="0"/>
          <w:numId w:val="1074"/>
        </w:numPr>
      </w:pPr>
      <w:r>
        <w:rPr>
          <w:b/>
          <w:bCs/>
        </w:rPr>
        <w:t xml:space="preserve">PID of deposited dataset</w:t>
      </w:r>
      <w:r>
        <w:t xml:space="preserve">:</w:t>
      </w:r>
    </w:p>
    <w:p>
      <w:pPr>
        <w:pStyle w:val="Compact"/>
        <w:numPr>
          <w:ilvl w:val="0"/>
          <w:numId w:val="1074"/>
        </w:numPr>
      </w:pPr>
      <w:r>
        <w:rPr>
          <w:b/>
          <w:bCs/>
        </w:rPr>
        <w:t xml:space="preserve">URL to repository</w:t>
      </w:r>
      <w:r>
        <w:t xml:space="preserve">:</w:t>
      </w:r>
    </w:p>
    <w:p>
      <w:pPr>
        <w:pStyle w:val="Compact"/>
        <w:numPr>
          <w:ilvl w:val="0"/>
          <w:numId w:val="1074"/>
        </w:numPr>
      </w:pPr>
      <w:r>
        <w:rPr>
          <w:b/>
          <w:bCs/>
        </w:rPr>
        <w:t xml:space="preserve">Is the repository federated under EOSC?</w:t>
      </w:r>
      <w:r>
        <w:t xml:space="preserve"> </w:t>
      </w:r>
      <w:r>
        <w:t xml:space="preserve">[ ] Yes / [ ] No / [ ] N/A (verify against call conditions)</w:t>
      </w:r>
    </w:p>
    <w:p>
      <w:pPr>
        <w:pStyle w:val="Compact"/>
        <w:numPr>
          <w:ilvl w:val="0"/>
          <w:numId w:val="1074"/>
        </w:numPr>
      </w:pPr>
      <w:r>
        <w:rPr>
          <w:b/>
          <w:bCs/>
        </w:rPr>
        <w:t xml:space="preserve">Is this dataset available in open access through the repository?</w:t>
      </w:r>
      <w:r>
        <w:t xml:space="preserve"> </w:t>
      </w:r>
      <w:r>
        <w:t xml:space="preserve">[ ] Yes / [ ] No</w:t>
      </w:r>
    </w:p>
    <w:p>
      <w:pPr>
        <w:pStyle w:val="Compact"/>
        <w:numPr>
          <w:ilvl w:val="0"/>
          <w:numId w:val="1074"/>
        </w:numPr>
      </w:pPr>
      <w:r>
        <w:rPr>
          <w:b/>
          <w:bCs/>
        </w:rPr>
        <w:t xml:space="preserve">If data is needed to validate the conclusions of a scientific publication</w:t>
      </w:r>
      <w:r>
        <w:t xml:space="preserve">, describe the provisions whereby you intend to make it available:</w:t>
      </w:r>
    </w:p>
    <w:p>
      <w:pPr>
        <w:pStyle w:val="Compact"/>
        <w:numPr>
          <w:ilvl w:val="1"/>
          <w:numId w:val="1075"/>
        </w:numPr>
      </w:pPr>
      <w:r>
        <w:t xml:space="preserve">N/A</w:t>
      </w:r>
    </w:p>
    <w:p>
      <w:pPr>
        <w:pStyle w:val="Compact"/>
        <w:numPr>
          <w:ilvl w:val="1"/>
          <w:numId w:val="1076"/>
        </w:numPr>
      </w:pPr>
      <w:r>
        <w:t xml:space="preserve">Open access given to data</w:t>
      </w:r>
    </w:p>
    <w:p>
      <w:pPr>
        <w:pStyle w:val="Compact"/>
        <w:numPr>
          <w:ilvl w:val="1"/>
          <w:numId w:val="1077"/>
        </w:numPr>
      </w:pPr>
      <w:r>
        <w:t xml:space="preserve">Other (describe):</w:t>
      </w:r>
    </w:p>
    <w:p>
      <w:pPr>
        <w:pStyle w:val="Compact"/>
        <w:numPr>
          <w:ilvl w:val="0"/>
          <w:numId w:val="1074"/>
        </w:numPr>
      </w:pPr>
      <w:r>
        <w:rPr>
          <w:b/>
          <w:bCs/>
        </w:rPr>
        <w:t xml:space="preserve">Is the metadata of the deposited data accessible through open access?</w:t>
      </w:r>
      <w:r>
        <w:t xml:space="preserve"> </w:t>
      </w:r>
      <w:r>
        <w:t xml:space="preserve">[ ] Yes / [ ] No</w:t>
      </w:r>
    </w:p>
    <w:p>
      <w:pPr>
        <w:pStyle w:val="Compact"/>
        <w:numPr>
          <w:ilvl w:val="0"/>
          <w:numId w:val="1074"/>
        </w:numPr>
      </w:pPr>
      <w:r>
        <w:rPr>
          <w:b/>
          <w:bCs/>
        </w:rPr>
        <w:t xml:space="preserve">What licence is the data licensed under?</w:t>
      </w:r>
    </w:p>
    <w:p>
      <w:pPr>
        <w:pStyle w:val="Compact"/>
        <w:numPr>
          <w:ilvl w:val="1"/>
          <w:numId w:val="1078"/>
        </w:numPr>
      </w:pPr>
      <w:r>
        <w:t xml:space="preserve">CC BY (or equivalent)</w:t>
      </w:r>
    </w:p>
    <w:p>
      <w:pPr>
        <w:pStyle w:val="Compact"/>
        <w:numPr>
          <w:ilvl w:val="1"/>
          <w:numId w:val="1079"/>
        </w:numPr>
      </w:pPr>
      <w:r>
        <w:t xml:space="preserve">CC0 (or equivalent)</w:t>
      </w:r>
    </w:p>
    <w:p>
      <w:pPr>
        <w:pStyle w:val="Compact"/>
        <w:numPr>
          <w:ilvl w:val="1"/>
          <w:numId w:val="1080"/>
        </w:numPr>
      </w:pPr>
      <w:r>
        <w:t xml:space="preserve">Other:</w:t>
      </w:r>
    </w:p>
    <w:bookmarkEnd w:id="20"/>
    <w:bookmarkStart w:id="21" w:name="dataset-2-3-repeat-as-needed"/>
    <w:p>
      <w:pPr>
        <w:pStyle w:val="Heading3"/>
      </w:pPr>
      <w:r>
        <w:t xml:space="preserve">Dataset [2], [3], … — repeat as needed</w:t>
      </w:r>
    </w:p>
    <w:p>
      <w:r>
        <w:pict>
          <v:rect style="width:0;height:1.5pt" o:hralign="center" o:hrstd="t" o:hr="t"/>
        </w:pict>
      </w:r>
    </w:p>
    <w:bookmarkEnd w:id="21"/>
    <w:bookmarkEnd w:id="22"/>
    <w:bookmarkStart w:id="25" w:name="Xa8ea8cac98bbbe19c0bc523fb33d3f51d0acb8b"/>
    <w:p>
      <w:pPr>
        <w:pStyle w:val="Heading2"/>
      </w:pPr>
      <w:r>
        <w:t xml:space="preserve">Section 5 — Intellectual Property Rights (IPR)</w:t>
      </w:r>
    </w:p>
    <w:p>
      <w:pPr>
        <w:pStyle w:val="FirstParagraph"/>
      </w:pPr>
      <w:r>
        <w:rPr>
          <w:i/>
          <w:iCs/>
        </w:rPr>
        <w:t xml:space="preserve">List every IPR that has resulted from the project — filed, granted, or in preparation. Include patents, trademarks, registered designs, utility models, and other registered IP.</w:t>
      </w:r>
    </w:p>
    <w:p>
      <w:pPr>
        <w:pStyle w:val="BodyText"/>
      </w:pPr>
      <w:r>
        <w:rPr>
          <w:b/>
          <w:bCs/>
        </w:rPr>
        <w:t xml:space="preserve">Reminder from GA:</w:t>
      </w:r>
      <w:r>
        <w:t xml:space="preserve"> </w:t>
      </w:r>
      <w:r>
        <w:t xml:space="preserve">Beneficiaries which have received funding must adequately protect their results for an appropriate period and with appropriate territorial coverage, if protection is possible and justified, taking into account the prospects for commercial exploitation, the legitimate interests of other beneficiaries, and any other legitimate interests.</w:t>
      </w:r>
    </w:p>
    <w:p>
      <w:pPr>
        <w:pStyle w:val="BodyText"/>
      </w:pPr>
      <w:r>
        <w:rPr>
          <w:i/>
          <w:iCs/>
        </w:rPr>
        <w:t xml:space="preserve">Copy the block below once per IPR filing.</w:t>
      </w:r>
    </w:p>
    <w:bookmarkStart w:id="23" w:name="ipr-1"/>
    <w:p>
      <w:pPr>
        <w:pStyle w:val="Heading3"/>
      </w:pPr>
      <w:r>
        <w:t xml:space="preserve">IPR [1]</w:t>
      </w:r>
    </w:p>
    <w:p>
      <w:pPr>
        <w:pStyle w:val="Compact"/>
        <w:numPr>
          <w:ilvl w:val="0"/>
          <w:numId w:val="1081"/>
        </w:numPr>
      </w:pPr>
      <w:r>
        <w:rPr>
          <w:b/>
          <w:bCs/>
        </w:rPr>
        <w:t xml:space="preserve">Type of IP Right</w:t>
      </w:r>
      <w:r>
        <w:t xml:space="preserve"> </w:t>
      </w:r>
      <w:r>
        <w:t xml:space="preserve">(single choice):</w:t>
      </w:r>
    </w:p>
    <w:p>
      <w:pPr>
        <w:pStyle w:val="Compact"/>
        <w:numPr>
          <w:ilvl w:val="1"/>
          <w:numId w:val="1082"/>
        </w:numPr>
      </w:pPr>
      <w:r>
        <w:t xml:space="preserve">Patent</w:t>
      </w:r>
    </w:p>
    <w:p>
      <w:pPr>
        <w:pStyle w:val="Compact"/>
        <w:numPr>
          <w:ilvl w:val="1"/>
          <w:numId w:val="1083"/>
        </w:numPr>
      </w:pPr>
      <w:r>
        <w:t xml:space="preserve">Trademark</w:t>
      </w:r>
    </w:p>
    <w:p>
      <w:pPr>
        <w:pStyle w:val="Compact"/>
        <w:numPr>
          <w:ilvl w:val="1"/>
          <w:numId w:val="1084"/>
        </w:numPr>
      </w:pPr>
      <w:r>
        <w:t xml:space="preserve">Registered design</w:t>
      </w:r>
    </w:p>
    <w:p>
      <w:pPr>
        <w:pStyle w:val="Compact"/>
        <w:numPr>
          <w:ilvl w:val="1"/>
          <w:numId w:val="1085"/>
        </w:numPr>
      </w:pPr>
      <w:r>
        <w:t xml:space="preserve">Utility model</w:t>
      </w:r>
    </w:p>
    <w:p>
      <w:pPr>
        <w:pStyle w:val="Compact"/>
        <w:numPr>
          <w:ilvl w:val="1"/>
          <w:numId w:val="1086"/>
        </w:numPr>
      </w:pPr>
      <w:r>
        <w:t xml:space="preserve">Other:</w:t>
      </w:r>
    </w:p>
    <w:p>
      <w:pPr>
        <w:pStyle w:val="Compact"/>
        <w:numPr>
          <w:ilvl w:val="0"/>
          <w:numId w:val="1081"/>
        </w:numPr>
      </w:pPr>
      <w:r>
        <w:rPr>
          <w:b/>
          <w:bCs/>
        </w:rPr>
        <w:t xml:space="preserve">Application title</w:t>
      </w:r>
      <w:r>
        <w:t xml:space="preserve">:</w:t>
      </w:r>
    </w:p>
    <w:p>
      <w:pPr>
        <w:pStyle w:val="Compact"/>
        <w:numPr>
          <w:ilvl w:val="0"/>
          <w:numId w:val="1081"/>
        </w:numPr>
      </w:pPr>
      <w:r>
        <w:rPr>
          <w:b/>
          <w:bCs/>
        </w:rPr>
        <w:t xml:space="preserve">Application reference</w:t>
      </w:r>
      <w:r>
        <w:t xml:space="preserve">:</w:t>
      </w:r>
    </w:p>
    <w:p>
      <w:pPr>
        <w:pStyle w:val="Compact"/>
        <w:numPr>
          <w:ilvl w:val="1"/>
          <w:numId w:val="1087"/>
        </w:numPr>
      </w:pPr>
      <w:r>
        <w:t xml:space="preserve">For international patent applications: [insert international organisation code and serial number]</w:t>
      </w:r>
    </w:p>
    <w:p>
      <w:pPr>
        <w:pStyle w:val="Compact"/>
        <w:numPr>
          <w:ilvl w:val="1"/>
          <w:numId w:val="1087"/>
        </w:numPr>
      </w:pPr>
      <w:r>
        <w:t xml:space="preserve">For national patent applications: [insert country code (two letters) and serial number]</w:t>
      </w:r>
    </w:p>
    <w:p>
      <w:pPr>
        <w:pStyle w:val="Compact"/>
        <w:numPr>
          <w:ilvl w:val="1"/>
          <w:numId w:val="1087"/>
        </w:numPr>
      </w:pPr>
      <w:r>
        <w:t xml:space="preserve">For other registered IPR: [insert country code / organisation code and alphanumeric identifier]</w:t>
      </w:r>
    </w:p>
    <w:p>
      <w:pPr>
        <w:pStyle w:val="Compact"/>
        <w:numPr>
          <w:ilvl w:val="1"/>
          <w:numId w:val="1087"/>
        </w:numPr>
      </w:pPr>
      <w:r>
        <w:t xml:space="preserve">EPO / Google patent format (if applicable):</w:t>
      </w:r>
    </w:p>
    <w:p>
      <w:pPr>
        <w:pStyle w:val="Compact"/>
        <w:numPr>
          <w:ilvl w:val="1"/>
          <w:numId w:val="1087"/>
        </w:numPr>
      </w:pPr>
      <w:r>
        <w:t xml:space="preserve">Application ID:</w:t>
      </w:r>
    </w:p>
    <w:p>
      <w:pPr>
        <w:pStyle w:val="Compact"/>
        <w:numPr>
          <w:ilvl w:val="0"/>
          <w:numId w:val="1081"/>
        </w:numPr>
      </w:pPr>
      <w:r>
        <w:rPr>
          <w:b/>
          <w:bCs/>
        </w:rPr>
        <w:t xml:space="preserve">Application date</w:t>
      </w:r>
      <w:r>
        <w:t xml:space="preserve"> </w:t>
      </w:r>
      <w:r>
        <w:t xml:space="preserve">(dd/mm/yyyy):</w:t>
      </w:r>
    </w:p>
    <w:p>
      <w:pPr>
        <w:pStyle w:val="Compact"/>
        <w:numPr>
          <w:ilvl w:val="0"/>
          <w:numId w:val="1081"/>
        </w:numPr>
      </w:pPr>
      <w:r>
        <w:rPr>
          <w:b/>
          <w:bCs/>
        </w:rPr>
        <w:t xml:space="preserve">IPR owner name(s)</w:t>
      </w:r>
      <w:r>
        <w:t xml:space="preserve">:</w:t>
      </w:r>
    </w:p>
    <w:p>
      <w:pPr>
        <w:pStyle w:val="Compact"/>
        <w:numPr>
          <w:ilvl w:val="0"/>
          <w:numId w:val="1081"/>
        </w:numPr>
      </w:pPr>
      <w:r>
        <w:rPr>
          <w:b/>
          <w:bCs/>
        </w:rPr>
        <w:t xml:space="preserve">Has protection been awarded?</w:t>
      </w:r>
      <w:r>
        <w:t xml:space="preserve"> </w:t>
      </w:r>
      <w:r>
        <w:t xml:space="preserve">[ ] Yes / [ ] No / [ ] N/A</w:t>
      </w:r>
    </w:p>
    <w:p>
      <w:pPr>
        <w:pStyle w:val="Compact"/>
        <w:numPr>
          <w:ilvl w:val="0"/>
          <w:numId w:val="1081"/>
        </w:numPr>
      </w:pPr>
      <w:r>
        <w:rPr>
          <w:b/>
          <w:bCs/>
        </w:rPr>
        <w:t xml:space="preserve">IPR Award Reference ID</w:t>
      </w:r>
      <w:r>
        <w:t xml:space="preserve">:</w:t>
      </w:r>
    </w:p>
    <w:p>
      <w:pPr>
        <w:pStyle w:val="Compact"/>
        <w:numPr>
          <w:ilvl w:val="0"/>
          <w:numId w:val="1081"/>
        </w:numPr>
      </w:pPr>
      <w:r>
        <w:rPr>
          <w:b/>
          <w:bCs/>
        </w:rPr>
        <w:t xml:space="preserve">Which SUREWAVE result / KER does this IPR protect?</w:t>
      </w:r>
      <w:r>
        <w:t xml:space="preserve"> </w:t>
      </w:r>
      <w:r>
        <w:t xml:space="preserve">(cross-reference Section 1):</w:t>
      </w:r>
    </w:p>
    <w:p>
      <w:pPr>
        <w:pStyle w:val="Compact"/>
        <w:numPr>
          <w:ilvl w:val="0"/>
          <w:numId w:val="1081"/>
        </w:numPr>
      </w:pPr>
      <w:r>
        <w:rPr>
          <w:b/>
          <w:bCs/>
        </w:rPr>
        <w:t xml:space="preserve">Territorial coverage</w:t>
      </w:r>
      <w:r>
        <w:t xml:space="preserve"> </w:t>
      </w:r>
      <w:r>
        <w:t xml:space="preserve">(list countries or regions):</w:t>
      </w:r>
    </w:p>
    <w:p>
      <w:pPr>
        <w:pStyle w:val="Compact"/>
        <w:numPr>
          <w:ilvl w:val="0"/>
          <w:numId w:val="1081"/>
        </w:numPr>
      </w:pPr>
      <w:r>
        <w:rPr>
          <w:b/>
          <w:bCs/>
        </w:rPr>
        <w:t xml:space="preserve">Trade secrets / know-how not registered but treated as IP?</w:t>
      </w:r>
      <w:r>
        <w:t xml:space="preserve"> </w:t>
      </w:r>
      <w:r>
        <w:t xml:space="preserve">[ ] Yes / [ ] No</w:t>
      </w:r>
    </w:p>
    <w:p>
      <w:pPr>
        <w:pStyle w:val="Compact"/>
        <w:numPr>
          <w:ilvl w:val="1"/>
          <w:numId w:val="1088"/>
        </w:numPr>
      </w:pPr>
      <w:r>
        <w:t xml:space="preserve">If Yes — describe the protection measures (NDA regime, access controls, documentation):</w:t>
      </w:r>
    </w:p>
    <w:bookmarkEnd w:id="23"/>
    <w:bookmarkStart w:id="24" w:name="ipr-2-3-repeat-as-needed"/>
    <w:p>
      <w:pPr>
        <w:pStyle w:val="Heading3"/>
      </w:pPr>
      <w:r>
        <w:t xml:space="preserve">IPR [2], [3], … — repeat as needed</w:t>
      </w:r>
    </w:p>
    <w:p>
      <w:r>
        <w:pict>
          <v:rect style="width:0;height:1.5pt" o:hralign="center" o:hrstd="t" o:hr="t"/>
        </w:pict>
      </w:r>
    </w:p>
    <w:bookmarkEnd w:id="24"/>
    <w:bookmarkEnd w:id="25"/>
    <w:bookmarkStart w:id="28" w:name="section-6-standardisation-activities"/>
    <w:p>
      <w:pPr>
        <w:pStyle w:val="Heading2"/>
      </w:pPr>
      <w:r>
        <w:t xml:space="preserve">Section 6 — Standardisation activities</w:t>
      </w:r>
    </w:p>
    <w:p>
      <w:pPr>
        <w:pStyle w:val="FirstParagraph"/>
      </w:pPr>
      <w:r>
        <w:rPr>
          <w:i/>
          <w:iCs/>
        </w:rPr>
        <w:t xml:space="preserve">List every standardisation activity that has resulted from the project or is planned. Where results are incorporated in a standard, the GA requires that you ask the standardisation body to include the funding statement in the standard.</w:t>
      </w:r>
    </w:p>
    <w:p>
      <w:pPr>
        <w:pStyle w:val="BodyText"/>
      </w:pPr>
      <w:r>
        <w:rPr>
          <w:b/>
          <w:bCs/>
        </w:rPr>
        <w:t xml:space="preserve">Reminder:</w:t>
      </w:r>
      <w:r>
        <w:t xml:space="preserve"> </w:t>
      </w:r>
      <w:r>
        <w:t xml:space="preserve">Horizon Standardisation Booster is a free EC service — worth engaging early if your KER has standardisation potential.</w:t>
      </w:r>
    </w:p>
    <w:p>
      <w:pPr>
        <w:pStyle w:val="BodyText"/>
      </w:pPr>
      <w:r>
        <w:rPr>
          <w:i/>
          <w:iCs/>
        </w:rPr>
        <w:t xml:space="preserve">Copy the block below once per standardisation activity.</w:t>
      </w:r>
    </w:p>
    <w:bookmarkStart w:id="26" w:name="standardisation-activity-1"/>
    <w:p>
      <w:pPr>
        <w:pStyle w:val="Heading3"/>
      </w:pPr>
      <w:r>
        <w:t xml:space="preserve">Standardisation activity [1]</w:t>
      </w:r>
    </w:p>
    <w:p>
      <w:pPr>
        <w:pStyle w:val="Compact"/>
        <w:numPr>
          <w:ilvl w:val="0"/>
          <w:numId w:val="1089"/>
        </w:numPr>
      </w:pPr>
      <w:r>
        <w:rPr>
          <w:b/>
          <w:bCs/>
        </w:rPr>
        <w:t xml:space="preserve">Type of standardisation activity</w:t>
      </w:r>
      <w:r>
        <w:t xml:space="preserve"> </w:t>
      </w:r>
      <w:r>
        <w:t xml:space="preserve">(multi-select):</w:t>
      </w:r>
    </w:p>
    <w:p>
      <w:pPr>
        <w:pStyle w:val="Compact"/>
        <w:numPr>
          <w:ilvl w:val="1"/>
          <w:numId w:val="1090"/>
        </w:numPr>
      </w:pPr>
      <w:r>
        <w:t xml:space="preserve">Revision of an existing standard</w:t>
      </w:r>
    </w:p>
    <w:p>
      <w:pPr>
        <w:pStyle w:val="Compact"/>
        <w:numPr>
          <w:ilvl w:val="1"/>
          <w:numId w:val="1091"/>
        </w:numPr>
      </w:pPr>
      <w:r>
        <w:t xml:space="preserve">Elaboration of a new standard</w:t>
      </w:r>
    </w:p>
    <w:p>
      <w:pPr>
        <w:pStyle w:val="Compact"/>
        <w:numPr>
          <w:ilvl w:val="1"/>
          <w:numId w:val="1092"/>
        </w:numPr>
      </w:pPr>
      <w:r>
        <w:t xml:space="preserve">Participation in a technical committee</w:t>
      </w:r>
    </w:p>
    <w:p>
      <w:pPr>
        <w:pStyle w:val="Compact"/>
        <w:numPr>
          <w:ilvl w:val="1"/>
          <w:numId w:val="1093"/>
        </w:numPr>
      </w:pPr>
      <w:r>
        <w:t xml:space="preserve">Participation in a technical group</w:t>
      </w:r>
    </w:p>
    <w:p>
      <w:pPr>
        <w:pStyle w:val="Compact"/>
        <w:numPr>
          <w:ilvl w:val="1"/>
          <w:numId w:val="1094"/>
        </w:numPr>
      </w:pPr>
      <w:r>
        <w:t xml:space="preserve">Elaboration of a workshop agreement</w:t>
      </w:r>
    </w:p>
    <w:p>
      <w:pPr>
        <w:pStyle w:val="Compact"/>
        <w:numPr>
          <w:ilvl w:val="1"/>
          <w:numId w:val="1095"/>
        </w:numPr>
      </w:pPr>
      <w:r>
        <w:t xml:space="preserve">Others:</w:t>
      </w:r>
    </w:p>
    <w:p>
      <w:pPr>
        <w:pStyle w:val="Compact"/>
        <w:numPr>
          <w:ilvl w:val="0"/>
          <w:numId w:val="1089"/>
        </w:numPr>
      </w:pPr>
      <w:r>
        <w:rPr>
          <w:b/>
          <w:bCs/>
        </w:rPr>
        <w:t xml:space="preserve">Description</w:t>
      </w:r>
      <w:r>
        <w:t xml:space="preserve"> </w:t>
      </w:r>
      <w:r>
        <w:t xml:space="preserve">(max 200 words, including reference to the relevant group):</w:t>
      </w:r>
    </w:p>
    <w:p>
      <w:pPr>
        <w:pStyle w:val="Compact"/>
        <w:numPr>
          <w:ilvl w:val="0"/>
          <w:numId w:val="1089"/>
        </w:numPr>
      </w:pPr>
      <w:r>
        <w:rPr>
          <w:b/>
          <w:bCs/>
        </w:rPr>
        <w:t xml:space="preserve">Types of standardisation bodies involved</w:t>
      </w:r>
      <w:r>
        <w:t xml:space="preserve"> </w:t>
      </w:r>
      <w:r>
        <w:t xml:space="preserve">(multi-select):</w:t>
      </w:r>
    </w:p>
    <w:p>
      <w:pPr>
        <w:pStyle w:val="Compact"/>
        <w:numPr>
          <w:ilvl w:val="1"/>
          <w:numId w:val="1096"/>
        </w:numPr>
      </w:pPr>
      <w:r>
        <w:t xml:space="preserve">International (ISO / IEC / IEEE / etc.)</w:t>
      </w:r>
    </w:p>
    <w:p>
      <w:pPr>
        <w:pStyle w:val="Compact"/>
        <w:numPr>
          <w:ilvl w:val="1"/>
          <w:numId w:val="1097"/>
        </w:numPr>
      </w:pPr>
      <w:r>
        <w:t xml:space="preserve">European (CEN / CENELEC / ETSI)</w:t>
      </w:r>
    </w:p>
    <w:p>
      <w:pPr>
        <w:pStyle w:val="Compact"/>
        <w:numPr>
          <w:ilvl w:val="1"/>
          <w:numId w:val="1098"/>
        </w:numPr>
      </w:pPr>
      <w:r>
        <w:t xml:space="preserve">National</w:t>
      </w:r>
    </w:p>
    <w:p>
      <w:pPr>
        <w:pStyle w:val="Compact"/>
        <w:numPr>
          <w:ilvl w:val="1"/>
          <w:numId w:val="1099"/>
        </w:numPr>
      </w:pPr>
      <w:r>
        <w:t xml:space="preserve">Other:</w:t>
      </w:r>
    </w:p>
    <w:p>
      <w:pPr>
        <w:pStyle w:val="Compact"/>
        <w:numPr>
          <w:ilvl w:val="0"/>
          <w:numId w:val="1089"/>
        </w:numPr>
      </w:pPr>
      <w:r>
        <w:rPr>
          <w:b/>
          <w:bCs/>
        </w:rPr>
        <w:t xml:space="preserve">Names of standardisation bodies involved</w:t>
      </w:r>
      <w:r>
        <w:t xml:space="preserve">:</w:t>
      </w:r>
    </w:p>
    <w:p>
      <w:pPr>
        <w:pStyle w:val="Compact"/>
        <w:numPr>
          <w:ilvl w:val="0"/>
          <w:numId w:val="1089"/>
        </w:numPr>
      </w:pPr>
      <w:r>
        <w:rPr>
          <w:b/>
          <w:bCs/>
        </w:rPr>
        <w:t xml:space="preserve">Standard reference</w:t>
      </w:r>
      <w:r>
        <w:t xml:space="preserve"> </w:t>
      </w:r>
      <w:r>
        <w:t xml:space="preserve">(if any — number, title):</w:t>
      </w:r>
    </w:p>
    <w:p>
      <w:pPr>
        <w:pStyle w:val="Compact"/>
        <w:numPr>
          <w:ilvl w:val="0"/>
          <w:numId w:val="1089"/>
        </w:numPr>
      </w:pPr>
      <w:r>
        <w:rPr>
          <w:b/>
          <w:bCs/>
        </w:rPr>
        <w:t xml:space="preserve">Which SUREWAVE result / KER does this activity relate to?</w:t>
      </w:r>
      <w:r>
        <w:t xml:space="preserve">:</w:t>
      </w:r>
    </w:p>
    <w:p>
      <w:pPr>
        <w:pStyle w:val="Compact"/>
        <w:numPr>
          <w:ilvl w:val="0"/>
          <w:numId w:val="1089"/>
        </w:numPr>
      </w:pPr>
      <w:r>
        <w:rPr>
          <w:b/>
          <w:bCs/>
        </w:rPr>
        <w:t xml:space="preserve">Have you asked the standardisation body to include the SUREWAVE / HE funding statement?</w:t>
      </w:r>
      <w:r>
        <w:t xml:space="preserve"> </w:t>
      </w:r>
      <w:r>
        <w:t xml:space="preserve">[ ] Yes / [ ] No / [ ] N/A (result not yet in a standard)</w:t>
      </w:r>
    </w:p>
    <w:bookmarkEnd w:id="26"/>
    <w:bookmarkStart w:id="27" w:name="Xd82b209e442efc7bbb94fd3cbe9794a19dfeacd"/>
    <w:p>
      <w:pPr>
        <w:pStyle w:val="Heading3"/>
      </w:pPr>
      <w:r>
        <w:t xml:space="preserve">Standardisation activity [2], [3], … — repeat as needed</w:t>
      </w:r>
    </w:p>
    <w:p>
      <w:r>
        <w:pict>
          <v:rect style="width:0;height:1.5pt" o:hralign="center" o:hrstd="t" o:hr="t"/>
        </w:pict>
      </w:r>
    </w:p>
    <w:bookmarkEnd w:id="27"/>
    <w:bookmarkEnd w:id="28"/>
    <w:bookmarkStart w:id="31" w:name="section-7-other-results"/>
    <w:p>
      <w:pPr>
        <w:pStyle w:val="Heading2"/>
      </w:pPr>
      <w:r>
        <w:t xml:space="preserve">Section 7 — Other results</w:t>
      </w:r>
    </w:p>
    <w:p>
      <w:pPr>
        <w:pStyle w:val="FirstParagraph"/>
      </w:pPr>
      <w:r>
        <w:rPr>
          <w:i/>
          <w:iCs/>
        </w:rPr>
        <w:t xml:space="preserve">List other results not captured above: software, workflows, protocols, prototypes, demonstrators, or</w:t>
      </w:r>
      <w:r>
        <w:rPr>
          <w:i/>
          <w:iCs/>
        </w:rPr>
        <w:t xml:space="preserve"> </w:t>
      </w:r>
      <w:r>
        <w:rPr>
          <w:i/>
          <w:iCs/>
        </w:rPr>
        <w:t xml:space="preserve">“other”</w:t>
      </w:r>
      <w:r>
        <w:rPr>
          <w:i/>
          <w:iCs/>
        </w:rPr>
        <w:t xml:space="preserve"> </w:t>
      </w:r>
      <w:r>
        <w:rPr>
          <w:i/>
          <w:iCs/>
        </w:rPr>
        <w:t xml:space="preserve">outputs.</w:t>
      </w:r>
    </w:p>
    <w:p>
      <w:pPr>
        <w:pStyle w:val="BodyText"/>
      </w:pPr>
      <w:r>
        <w:rPr>
          <w:i/>
          <w:iCs/>
        </w:rPr>
        <w:t xml:space="preserve">Copy the block below once per other result.</w:t>
      </w:r>
    </w:p>
    <w:bookmarkStart w:id="29" w:name="other-result-1"/>
    <w:p>
      <w:pPr>
        <w:pStyle w:val="Heading3"/>
      </w:pPr>
      <w:r>
        <w:t xml:space="preserve">Other result [1]</w:t>
      </w:r>
    </w:p>
    <w:p>
      <w:pPr>
        <w:pStyle w:val="Compact"/>
        <w:numPr>
          <w:ilvl w:val="0"/>
          <w:numId w:val="1100"/>
        </w:numPr>
      </w:pPr>
      <w:r>
        <w:rPr>
          <w:b/>
          <w:bCs/>
        </w:rPr>
        <w:t xml:space="preserve">Type of result</w:t>
      </w:r>
      <w:r>
        <w:t xml:space="preserve"> </w:t>
      </w:r>
      <w:r>
        <w:t xml:space="preserve">(single choice):</w:t>
      </w:r>
    </w:p>
    <w:p>
      <w:pPr>
        <w:pStyle w:val="Compact"/>
        <w:numPr>
          <w:ilvl w:val="1"/>
          <w:numId w:val="1101"/>
        </w:numPr>
      </w:pPr>
      <w:r>
        <w:t xml:space="preserve">Software</w:t>
      </w:r>
    </w:p>
    <w:p>
      <w:pPr>
        <w:pStyle w:val="Compact"/>
        <w:numPr>
          <w:ilvl w:val="1"/>
          <w:numId w:val="1102"/>
        </w:numPr>
      </w:pPr>
      <w:r>
        <w:t xml:space="preserve">Workflow</w:t>
      </w:r>
    </w:p>
    <w:p>
      <w:pPr>
        <w:pStyle w:val="Compact"/>
        <w:numPr>
          <w:ilvl w:val="1"/>
          <w:numId w:val="1103"/>
        </w:numPr>
      </w:pPr>
      <w:r>
        <w:t xml:space="preserve">Protocol</w:t>
      </w:r>
    </w:p>
    <w:p>
      <w:pPr>
        <w:pStyle w:val="Compact"/>
        <w:numPr>
          <w:ilvl w:val="1"/>
          <w:numId w:val="1104"/>
        </w:numPr>
      </w:pPr>
      <w:r>
        <w:t xml:space="preserve">Prototype</w:t>
      </w:r>
    </w:p>
    <w:p>
      <w:pPr>
        <w:pStyle w:val="Compact"/>
        <w:numPr>
          <w:ilvl w:val="1"/>
          <w:numId w:val="1105"/>
        </w:numPr>
      </w:pPr>
      <w:r>
        <w:t xml:space="preserve">Other:</w:t>
      </w:r>
    </w:p>
    <w:p>
      <w:pPr>
        <w:pStyle w:val="Compact"/>
        <w:numPr>
          <w:ilvl w:val="0"/>
          <w:numId w:val="1100"/>
        </w:numPr>
      </w:pPr>
      <w:r>
        <w:rPr>
          <w:b/>
          <w:bCs/>
        </w:rPr>
        <w:t xml:space="preserve">Description</w:t>
      </w:r>
      <w:r>
        <w:t xml:space="preserve">:</w:t>
      </w:r>
    </w:p>
    <w:p>
      <w:pPr>
        <w:pStyle w:val="Compact"/>
        <w:numPr>
          <w:ilvl w:val="0"/>
          <w:numId w:val="1100"/>
        </w:numPr>
      </w:pPr>
      <w:r>
        <w:rPr>
          <w:b/>
          <w:bCs/>
        </w:rPr>
        <w:t xml:space="preserve">If the result is needed to validate the conclusions of a publication</w:t>
      </w:r>
      <w:r>
        <w:t xml:space="preserve">, describe the provisions whereby you intend to make it available (digital or physical form):</w:t>
      </w:r>
    </w:p>
    <w:p>
      <w:pPr>
        <w:pStyle w:val="Compact"/>
        <w:numPr>
          <w:ilvl w:val="1"/>
          <w:numId w:val="1106"/>
        </w:numPr>
      </w:pPr>
      <w:r>
        <w:t xml:space="preserve">N/A</w:t>
      </w:r>
    </w:p>
    <w:p>
      <w:pPr>
        <w:pStyle w:val="Compact"/>
        <w:numPr>
          <w:ilvl w:val="1"/>
          <w:numId w:val="1107"/>
        </w:numPr>
      </w:pPr>
      <w:r>
        <w:t xml:space="preserve">Open access given to data</w:t>
      </w:r>
    </w:p>
    <w:p>
      <w:pPr>
        <w:pStyle w:val="Compact"/>
        <w:numPr>
          <w:ilvl w:val="1"/>
          <w:numId w:val="1108"/>
        </w:numPr>
      </w:pPr>
      <w:r>
        <w:t xml:space="preserve">Other (describe):</w:t>
      </w:r>
    </w:p>
    <w:p>
      <w:pPr>
        <w:pStyle w:val="Compact"/>
        <w:numPr>
          <w:ilvl w:val="0"/>
          <w:numId w:val="1100"/>
        </w:numPr>
      </w:pPr>
      <w:r>
        <w:rPr>
          <w:b/>
          <w:bCs/>
        </w:rPr>
        <w:t xml:space="preserve">PID type</w:t>
      </w:r>
      <w:r>
        <w:t xml:space="preserve"> </w:t>
      </w:r>
      <w:r>
        <w:t xml:space="preserve">(DOI / handle / ARK / URI / other):</w:t>
      </w:r>
    </w:p>
    <w:p>
      <w:pPr>
        <w:pStyle w:val="Compact"/>
        <w:numPr>
          <w:ilvl w:val="0"/>
          <w:numId w:val="1100"/>
        </w:numPr>
      </w:pPr>
      <w:r>
        <w:rPr>
          <w:b/>
          <w:bCs/>
        </w:rPr>
        <w:t xml:space="preserve">PID</w:t>
      </w:r>
      <w:r>
        <w:t xml:space="preserve"> </w:t>
      </w:r>
      <w:r>
        <w:t xml:space="preserve">(if available):</w:t>
      </w:r>
    </w:p>
    <w:p>
      <w:pPr>
        <w:pStyle w:val="Compact"/>
        <w:numPr>
          <w:ilvl w:val="0"/>
          <w:numId w:val="1100"/>
        </w:numPr>
      </w:pPr>
      <w:r>
        <w:rPr>
          <w:b/>
          <w:bCs/>
        </w:rPr>
        <w:t xml:space="preserve">URL</w:t>
      </w:r>
      <w:r>
        <w:t xml:space="preserve"> </w:t>
      </w:r>
      <w:r>
        <w:t xml:space="preserve">to repository landing page or service / webpage hosting the result (if available):</w:t>
      </w:r>
    </w:p>
    <w:p>
      <w:pPr>
        <w:pStyle w:val="Compact"/>
        <w:numPr>
          <w:ilvl w:val="0"/>
          <w:numId w:val="1100"/>
        </w:numPr>
      </w:pPr>
      <w:r>
        <w:rPr>
          <w:b/>
          <w:bCs/>
        </w:rPr>
        <w:t xml:space="preserve">Licence</w:t>
      </w:r>
      <w:r>
        <w:t xml:space="preserve">:</w:t>
      </w:r>
    </w:p>
    <w:p>
      <w:pPr>
        <w:pStyle w:val="Compact"/>
        <w:numPr>
          <w:ilvl w:val="1"/>
          <w:numId w:val="1109"/>
        </w:numPr>
      </w:pPr>
      <w:r>
        <w:t xml:space="preserve">CC BY (or equivalent)</w:t>
      </w:r>
    </w:p>
    <w:p>
      <w:pPr>
        <w:pStyle w:val="Compact"/>
        <w:numPr>
          <w:ilvl w:val="1"/>
          <w:numId w:val="1110"/>
        </w:numPr>
      </w:pPr>
      <w:r>
        <w:t xml:space="preserve">CC0 (or equivalent)</w:t>
      </w:r>
    </w:p>
    <w:p>
      <w:pPr>
        <w:pStyle w:val="Compact"/>
        <w:numPr>
          <w:ilvl w:val="1"/>
          <w:numId w:val="1111"/>
        </w:numPr>
      </w:pPr>
      <w:r>
        <w:t xml:space="preserve">Open source licence — specify:</w:t>
      </w:r>
    </w:p>
    <w:p>
      <w:pPr>
        <w:pStyle w:val="Compact"/>
        <w:numPr>
          <w:ilvl w:val="1"/>
          <w:numId w:val="1112"/>
        </w:numPr>
      </w:pPr>
      <w:r>
        <w:t xml:space="preserve">Other:</w:t>
      </w:r>
    </w:p>
    <w:bookmarkEnd w:id="29"/>
    <w:bookmarkStart w:id="30" w:name="other-result-2-3-repeat-as-needed"/>
    <w:p>
      <w:pPr>
        <w:pStyle w:val="Heading3"/>
      </w:pPr>
      <w:r>
        <w:t xml:space="preserve">Other result [2], [3], … — repeat as needed</w:t>
      </w:r>
    </w:p>
    <w:p>
      <w:r>
        <w:pict>
          <v:rect style="width:0;height:1.5pt" o:hralign="center" o:hrstd="t" o:hr="t"/>
        </w:pict>
      </w:r>
    </w:p>
    <w:bookmarkEnd w:id="30"/>
    <w:bookmarkEnd w:id="31"/>
    <w:bookmarkStart w:id="34" w:name="section-8-dissemination-activities"/>
    <w:p>
      <w:pPr>
        <w:pStyle w:val="Heading2"/>
      </w:pPr>
      <w:r>
        <w:t xml:space="preserve">Section 8 — Dissemination activities</w:t>
      </w:r>
    </w:p>
    <w:p>
      <w:pPr>
        <w:pStyle w:val="FirstParagraph"/>
      </w:pPr>
      <w:r>
        <w:rPr>
          <w:i/>
          <w:iCs/>
        </w:rPr>
        <w:t xml:space="preserve">List every dissemination activity your organisation has carried out — conferences, education / training events, meetings, clustering activities, collaboration with EU-funded projects, other scientific collaborations, etc.</w:t>
      </w:r>
    </w:p>
    <w:p>
      <w:pPr>
        <w:pStyle w:val="BodyText"/>
      </w:pPr>
      <w:r>
        <w:rPr>
          <w:b/>
          <w:bCs/>
        </w:rPr>
        <w:t xml:space="preserve">Reminder:</w:t>
      </w:r>
      <w:r>
        <w:t xml:space="preserve"> </w:t>
      </w:r>
      <w:r>
        <w:t xml:space="preserve">Give at least 15 days advance notice to other beneficiaries before disseminating results, with sufficient information on what will be disseminated. Any beneficiary may object within 15 days if their legitimate interests would be significantly harmed.</w:t>
      </w:r>
    </w:p>
    <w:p>
      <w:pPr>
        <w:pStyle w:val="BodyText"/>
      </w:pPr>
      <w:r>
        <w:rPr>
          <w:i/>
          <w:iCs/>
        </w:rPr>
        <w:t xml:space="preserve">Copy the block below once per dissemination activity.</w:t>
      </w:r>
    </w:p>
    <w:bookmarkStart w:id="32" w:name="dissemination-activity-1"/>
    <w:p>
      <w:pPr>
        <w:pStyle w:val="Heading3"/>
      </w:pPr>
      <w:r>
        <w:t xml:space="preserve">Dissemination activity [1]</w:t>
      </w:r>
    </w:p>
    <w:p>
      <w:pPr>
        <w:pStyle w:val="Compact"/>
        <w:numPr>
          <w:ilvl w:val="0"/>
          <w:numId w:val="1113"/>
        </w:numPr>
      </w:pPr>
      <w:r>
        <w:rPr>
          <w:b/>
          <w:bCs/>
        </w:rPr>
        <w:t xml:space="preserve">Dissemination activity name</w:t>
      </w:r>
      <w:r>
        <w:t xml:space="preserve">:</w:t>
      </w:r>
    </w:p>
    <w:p>
      <w:pPr>
        <w:pStyle w:val="Compact"/>
        <w:numPr>
          <w:ilvl w:val="0"/>
          <w:numId w:val="1113"/>
        </w:numPr>
      </w:pPr>
      <w:r>
        <w:rPr>
          <w:b/>
          <w:bCs/>
        </w:rPr>
        <w:t xml:space="preserve">Type of dissemination activity</w:t>
      </w:r>
      <w:r>
        <w:t xml:space="preserve"> </w:t>
      </w:r>
      <w:r>
        <w:t xml:space="preserve">(multi-select):</w:t>
      </w:r>
    </w:p>
    <w:p>
      <w:pPr>
        <w:pStyle w:val="Compact"/>
        <w:numPr>
          <w:ilvl w:val="1"/>
          <w:numId w:val="1114"/>
        </w:numPr>
      </w:pPr>
      <w:r>
        <w:t xml:space="preserve">Conferences</w:t>
      </w:r>
    </w:p>
    <w:p>
      <w:pPr>
        <w:pStyle w:val="Compact"/>
        <w:numPr>
          <w:ilvl w:val="1"/>
          <w:numId w:val="1115"/>
        </w:numPr>
      </w:pPr>
      <w:r>
        <w:t xml:space="preserve">Education and training events</w:t>
      </w:r>
    </w:p>
    <w:p>
      <w:pPr>
        <w:pStyle w:val="Compact"/>
        <w:numPr>
          <w:ilvl w:val="1"/>
          <w:numId w:val="1116"/>
        </w:numPr>
      </w:pPr>
      <w:r>
        <w:t xml:space="preserve">Meetings</w:t>
      </w:r>
    </w:p>
    <w:p>
      <w:pPr>
        <w:pStyle w:val="Compact"/>
        <w:numPr>
          <w:ilvl w:val="1"/>
          <w:numId w:val="1117"/>
        </w:numPr>
      </w:pPr>
      <w:r>
        <w:t xml:space="preserve">Clustering activities</w:t>
      </w:r>
    </w:p>
    <w:p>
      <w:pPr>
        <w:pStyle w:val="Compact"/>
        <w:numPr>
          <w:ilvl w:val="1"/>
          <w:numId w:val="1118"/>
        </w:numPr>
      </w:pPr>
      <w:r>
        <w:t xml:space="preserve">Collaboration with EU-funded projects</w:t>
      </w:r>
    </w:p>
    <w:p>
      <w:pPr>
        <w:pStyle w:val="Compact"/>
        <w:numPr>
          <w:ilvl w:val="1"/>
          <w:numId w:val="1119"/>
        </w:numPr>
      </w:pPr>
      <w:r>
        <w:t xml:space="preserve">Other scientific collaboration</w:t>
      </w:r>
    </w:p>
    <w:p>
      <w:pPr>
        <w:pStyle w:val="Compact"/>
        <w:numPr>
          <w:ilvl w:val="1"/>
          <w:numId w:val="1120"/>
        </w:numPr>
      </w:pPr>
      <w:r>
        <w:t xml:space="preserve">Other:</w:t>
      </w:r>
    </w:p>
    <w:p>
      <w:pPr>
        <w:pStyle w:val="Compact"/>
        <w:numPr>
          <w:ilvl w:val="0"/>
          <w:numId w:val="1113"/>
        </w:numPr>
      </w:pPr>
      <w:r>
        <w:rPr>
          <w:b/>
          <w:bCs/>
        </w:rPr>
        <w:t xml:space="preserve">Target audience</w:t>
      </w:r>
      <w:r>
        <w:t xml:space="preserve"> </w:t>
      </w:r>
      <w:r>
        <w:t xml:space="preserve">(multi-select — same list as Results audience field in Section 1):</w:t>
      </w:r>
    </w:p>
    <w:p>
      <w:pPr>
        <w:pStyle w:val="Compact"/>
        <w:numPr>
          <w:ilvl w:val="1"/>
          <w:numId w:val="1121"/>
        </w:numPr>
      </w:pPr>
      <w:r>
        <w:t xml:space="preserve">Researchers</w:t>
      </w:r>
    </w:p>
    <w:p>
      <w:pPr>
        <w:pStyle w:val="Compact"/>
        <w:numPr>
          <w:ilvl w:val="1"/>
          <w:numId w:val="1122"/>
        </w:numPr>
      </w:pPr>
      <w:r>
        <w:t xml:space="preserve">Industry, business partners</w:t>
      </w:r>
    </w:p>
    <w:p>
      <w:pPr>
        <w:pStyle w:val="Compact"/>
        <w:numPr>
          <w:ilvl w:val="1"/>
          <w:numId w:val="1123"/>
        </w:numPr>
      </w:pPr>
      <w:r>
        <w:t xml:space="preserve">Investors</w:t>
      </w:r>
    </w:p>
    <w:p>
      <w:pPr>
        <w:pStyle w:val="Compact"/>
        <w:numPr>
          <w:ilvl w:val="1"/>
          <w:numId w:val="1124"/>
        </w:numPr>
      </w:pPr>
      <w:r>
        <w:t xml:space="preserve">EU Institutions</w:t>
      </w:r>
    </w:p>
    <w:p>
      <w:pPr>
        <w:pStyle w:val="Compact"/>
        <w:numPr>
          <w:ilvl w:val="1"/>
          <w:numId w:val="1125"/>
        </w:numPr>
      </w:pPr>
      <w:r>
        <w:t xml:space="preserve">Policy makers and authorities, international / national / regional or local</w:t>
      </w:r>
    </w:p>
    <w:p>
      <w:pPr>
        <w:pStyle w:val="Compact"/>
        <w:numPr>
          <w:ilvl w:val="1"/>
          <w:numId w:val="1126"/>
        </w:numPr>
      </w:pPr>
      <w:r>
        <w:t xml:space="preserve">Civil society, international / national / regional or local</w:t>
      </w:r>
    </w:p>
    <w:p>
      <w:pPr>
        <w:pStyle w:val="Compact"/>
        <w:numPr>
          <w:ilvl w:val="1"/>
          <w:numId w:val="1127"/>
        </w:numPr>
      </w:pPr>
      <w:r>
        <w:t xml:space="preserve">Citizens</w:t>
      </w:r>
    </w:p>
    <w:p>
      <w:pPr>
        <w:pStyle w:val="Compact"/>
        <w:numPr>
          <w:ilvl w:val="1"/>
          <w:numId w:val="1128"/>
        </w:numPr>
      </w:pPr>
      <w:r>
        <w:t xml:space="preserve">Standardization bodies</w:t>
      </w:r>
    </w:p>
    <w:p>
      <w:pPr>
        <w:pStyle w:val="Compact"/>
        <w:numPr>
          <w:ilvl w:val="1"/>
          <w:numId w:val="1129"/>
        </w:numPr>
      </w:pPr>
      <w:r>
        <w:t xml:space="preserve">Innovators</w:t>
      </w:r>
    </w:p>
    <w:p>
      <w:pPr>
        <w:pStyle w:val="Compact"/>
        <w:numPr>
          <w:ilvl w:val="1"/>
          <w:numId w:val="1130"/>
        </w:numPr>
      </w:pPr>
      <w:r>
        <w:t xml:space="preserve">End users</w:t>
      </w:r>
    </w:p>
    <w:p>
      <w:pPr>
        <w:pStyle w:val="Compact"/>
        <w:numPr>
          <w:ilvl w:val="1"/>
          <w:numId w:val="1131"/>
        </w:numPr>
      </w:pPr>
      <w:r>
        <w:t xml:space="preserve">Education / training organizations / learners</w:t>
      </w:r>
    </w:p>
    <w:p>
      <w:pPr>
        <w:pStyle w:val="Compact"/>
        <w:numPr>
          <w:ilvl w:val="1"/>
          <w:numId w:val="1132"/>
        </w:numPr>
      </w:pPr>
      <w:r>
        <w:t xml:space="preserve">Other:</w:t>
      </w:r>
    </w:p>
    <w:p>
      <w:pPr>
        <w:pStyle w:val="Compact"/>
        <w:numPr>
          <w:ilvl w:val="0"/>
          <w:numId w:val="1113"/>
        </w:numPr>
      </w:pPr>
      <w:r>
        <w:rPr>
          <w:b/>
          <w:bCs/>
        </w:rPr>
        <w:t xml:space="preserve">Objective</w:t>
      </w:r>
      <w:r>
        <w:t xml:space="preserve"> </w:t>
      </w:r>
      <w:r>
        <w:t xml:space="preserve">(max 200 characters, with reference to a specific project output):</w:t>
      </w:r>
    </w:p>
    <w:p>
      <w:pPr>
        <w:pStyle w:val="Compact"/>
        <w:numPr>
          <w:ilvl w:val="0"/>
          <w:numId w:val="1113"/>
        </w:numPr>
      </w:pPr>
      <w:r>
        <w:rPr>
          <w:b/>
          <w:bCs/>
        </w:rPr>
        <w:t xml:space="preserve">Date</w:t>
      </w:r>
      <w:r>
        <w:t xml:space="preserve"> </w:t>
      </w:r>
      <w:r>
        <w:t xml:space="preserve">(dd/mm/yyyy):</w:t>
      </w:r>
    </w:p>
    <w:p>
      <w:pPr>
        <w:pStyle w:val="Compact"/>
        <w:numPr>
          <w:ilvl w:val="0"/>
          <w:numId w:val="1113"/>
        </w:numPr>
      </w:pPr>
      <w:r>
        <w:rPr>
          <w:b/>
          <w:bCs/>
        </w:rPr>
        <w:t xml:space="preserve">Location</w:t>
      </w:r>
      <w:r>
        <w:t xml:space="preserve"> </w:t>
      </w:r>
      <w:r>
        <w:t xml:space="preserve">(city, country, or</w:t>
      </w:r>
      <w:r>
        <w:t xml:space="preserve"> </w:t>
      </w:r>
      <w:r>
        <w:t xml:space="preserve">“virtual”</w:t>
      </w:r>
      <w:r>
        <w:t xml:space="preserve">):</w:t>
      </w:r>
    </w:p>
    <w:p>
      <w:pPr>
        <w:pStyle w:val="Compact"/>
        <w:numPr>
          <w:ilvl w:val="0"/>
          <w:numId w:val="1113"/>
        </w:numPr>
      </w:pPr>
      <w:r>
        <w:rPr>
          <w:b/>
          <w:bCs/>
        </w:rPr>
        <w:t xml:space="preserve">Number of participants reached</w:t>
      </w:r>
      <w:r>
        <w:t xml:space="preserve">:</w:t>
      </w:r>
    </w:p>
    <w:p>
      <w:pPr>
        <w:pStyle w:val="Compact"/>
        <w:numPr>
          <w:ilvl w:val="0"/>
          <w:numId w:val="1113"/>
        </w:numPr>
      </w:pPr>
      <w:r>
        <w:rPr>
          <w:b/>
          <w:bCs/>
        </w:rPr>
        <w:t xml:space="preserve">Status</w:t>
      </w:r>
      <w:r>
        <w:t xml:space="preserve">:</w:t>
      </w:r>
    </w:p>
    <w:p>
      <w:pPr>
        <w:pStyle w:val="Compact"/>
        <w:numPr>
          <w:ilvl w:val="1"/>
          <w:numId w:val="1133"/>
        </w:numPr>
      </w:pPr>
      <w:r>
        <w:t xml:space="preserve">Delivered</w:t>
      </w:r>
    </w:p>
    <w:p>
      <w:pPr>
        <w:pStyle w:val="Compact"/>
        <w:numPr>
          <w:ilvl w:val="1"/>
          <w:numId w:val="1134"/>
        </w:numPr>
      </w:pPr>
      <w:r>
        <w:t xml:space="preserve">Cancelled</w:t>
      </w:r>
    </w:p>
    <w:p>
      <w:pPr>
        <w:pStyle w:val="Compact"/>
        <w:numPr>
          <w:ilvl w:val="1"/>
          <w:numId w:val="1135"/>
        </w:numPr>
      </w:pPr>
      <w:r>
        <w:t xml:space="preserve">Postponed</w:t>
      </w:r>
    </w:p>
    <w:p>
      <w:pPr>
        <w:pStyle w:val="Compact"/>
        <w:numPr>
          <w:ilvl w:val="1"/>
          <w:numId w:val="1136"/>
        </w:numPr>
      </w:pPr>
      <w:r>
        <w:t xml:space="preserve">Ongoing</w:t>
      </w:r>
    </w:p>
    <w:p>
      <w:pPr>
        <w:pStyle w:val="Compact"/>
        <w:numPr>
          <w:ilvl w:val="0"/>
          <w:numId w:val="1113"/>
        </w:numPr>
      </w:pPr>
      <w:r>
        <w:rPr>
          <w:b/>
          <w:bCs/>
        </w:rPr>
        <w:t xml:space="preserve">Link to material</w:t>
      </w:r>
      <w:r>
        <w:t xml:space="preserve"> </w:t>
      </w:r>
      <w:r>
        <w:t xml:space="preserve">(agenda, slides, recording, report):</w:t>
      </w:r>
    </w:p>
    <w:p>
      <w:pPr>
        <w:pStyle w:val="Compact"/>
        <w:numPr>
          <w:ilvl w:val="0"/>
          <w:numId w:val="1113"/>
        </w:numPr>
      </w:pPr>
      <w:r>
        <w:rPr>
          <w:b/>
          <w:bCs/>
        </w:rPr>
        <w:t xml:space="preserve">Did you give 15-day advance notice to other beneficiaries?</w:t>
      </w:r>
      <w:r>
        <w:t xml:space="preserve"> </w:t>
      </w:r>
      <w:r>
        <w:t xml:space="preserve">[ ] Yes / [ ] No / [ ] N/A</w:t>
      </w:r>
    </w:p>
    <w:bookmarkEnd w:id="32"/>
    <w:bookmarkStart w:id="33" w:name="Xfaf6444885307b79703935662935c0390422e72"/>
    <w:p>
      <w:pPr>
        <w:pStyle w:val="Heading3"/>
      </w:pPr>
      <w:r>
        <w:t xml:space="preserve">Dissemination activity [2], [3], … — repeat as needed</w:t>
      </w:r>
    </w:p>
    <w:p>
      <w:r>
        <w:pict>
          <v:rect style="width:0;height:1.5pt" o:hralign="center" o:hrstd="t" o:hr="t"/>
        </w:pict>
      </w:r>
    </w:p>
    <w:bookmarkEnd w:id="33"/>
    <w:bookmarkEnd w:id="34"/>
    <w:bookmarkStart w:id="37" w:name="section-9-communication-activities"/>
    <w:p>
      <w:pPr>
        <w:pStyle w:val="Heading2"/>
      </w:pPr>
      <w:r>
        <w:t xml:space="preserve">Section 9 — Communication activities</w:t>
      </w:r>
    </w:p>
    <w:p>
      <w:pPr>
        <w:pStyle w:val="FirstParagraph"/>
      </w:pPr>
      <w:r>
        <w:rPr>
          <w:i/>
          <w:iCs/>
        </w:rPr>
        <w:t xml:space="preserve">List every communication activity your organisation has carried out — website posts, social-media posts (LinkedIn especially), press releases, videos, brochures, public events, media coverage, exhibitions, podcasts.</w:t>
      </w:r>
    </w:p>
    <w:p>
      <w:pPr>
        <w:pStyle w:val="BodyText"/>
      </w:pPr>
      <w:r>
        <w:rPr>
          <w:b/>
          <w:bCs/>
        </w:rPr>
        <w:t xml:space="preserve">Reminder:</w:t>
      </w:r>
      <w:r>
        <w:t xml:space="preserve"> </w:t>
      </w:r>
      <w:r>
        <w:t xml:space="preserve">All communication material must display the EU emblem and include the funding statement (</w:t>
      </w:r>
      <w:r>
        <w:rPr>
          <w:i/>
          <w:iCs/>
        </w:rPr>
        <w:t xml:space="preserve">“Funded by the European Union”</w:t>
      </w:r>
      <w:r>
        <w:t xml:space="preserve"> </w:t>
      </w:r>
      <w:r>
        <w:t xml:space="preserve">or</w:t>
      </w:r>
      <w:r>
        <w:t xml:space="preserve"> </w:t>
      </w:r>
      <w:r>
        <w:rPr>
          <w:i/>
          <w:iCs/>
        </w:rPr>
        <w:t xml:space="preserve">“Co-funded by the European Union”</w:t>
      </w:r>
      <w:r>
        <w:t xml:space="preserve">). Before engaging in a communication activity expected to have a major media impact, inform the granting authority.</w:t>
      </w:r>
    </w:p>
    <w:p>
      <w:pPr>
        <w:pStyle w:val="BodyText"/>
      </w:pPr>
      <w:r>
        <w:rPr>
          <w:i/>
          <w:iCs/>
        </w:rPr>
        <w:t xml:space="preserve">Copy the block below once per communication activity.</w:t>
      </w:r>
    </w:p>
    <w:bookmarkStart w:id="35" w:name="communication-activity-1"/>
    <w:p>
      <w:pPr>
        <w:pStyle w:val="Heading3"/>
      </w:pPr>
      <w:r>
        <w:t xml:space="preserve">Communication activity [1]</w:t>
      </w:r>
    </w:p>
    <w:p>
      <w:pPr>
        <w:pStyle w:val="Compact"/>
        <w:numPr>
          <w:ilvl w:val="0"/>
          <w:numId w:val="1137"/>
        </w:numPr>
      </w:pPr>
      <w:r>
        <w:rPr>
          <w:b/>
          <w:bCs/>
        </w:rPr>
        <w:t xml:space="preserve">Communication activity name</w:t>
      </w:r>
      <w:r>
        <w:t xml:space="preserve">:</w:t>
      </w:r>
    </w:p>
    <w:p>
      <w:pPr>
        <w:pStyle w:val="Compact"/>
        <w:numPr>
          <w:ilvl w:val="0"/>
          <w:numId w:val="1137"/>
        </w:numPr>
      </w:pPr>
      <w:r>
        <w:rPr>
          <w:b/>
          <w:bCs/>
        </w:rPr>
        <w:t xml:space="preserve">Type</w:t>
      </w:r>
      <w:r>
        <w:t xml:space="preserve">:</w:t>
      </w:r>
    </w:p>
    <w:p>
      <w:pPr>
        <w:pStyle w:val="Compact"/>
        <w:numPr>
          <w:ilvl w:val="1"/>
          <w:numId w:val="1138"/>
        </w:numPr>
      </w:pPr>
      <w:r>
        <w:t xml:space="preserve">Press release</w:t>
      </w:r>
    </w:p>
    <w:p>
      <w:pPr>
        <w:pStyle w:val="Compact"/>
        <w:numPr>
          <w:ilvl w:val="1"/>
          <w:numId w:val="1139"/>
        </w:numPr>
      </w:pPr>
      <w:r>
        <w:t xml:space="preserve">Website / project webpage</w:t>
      </w:r>
    </w:p>
    <w:p>
      <w:pPr>
        <w:pStyle w:val="Compact"/>
        <w:numPr>
          <w:ilvl w:val="1"/>
          <w:numId w:val="1140"/>
        </w:numPr>
      </w:pPr>
      <w:r>
        <w:t xml:space="preserve">Social media post (LinkedIn / Twitter / Facebook / other — specify)</w:t>
      </w:r>
    </w:p>
    <w:p>
      <w:pPr>
        <w:pStyle w:val="Compact"/>
        <w:numPr>
          <w:ilvl w:val="1"/>
          <w:numId w:val="1141"/>
        </w:numPr>
      </w:pPr>
      <w:r>
        <w:t xml:space="preserve">Video</w:t>
      </w:r>
    </w:p>
    <w:p>
      <w:pPr>
        <w:pStyle w:val="Compact"/>
        <w:numPr>
          <w:ilvl w:val="1"/>
          <w:numId w:val="1142"/>
        </w:numPr>
      </w:pPr>
      <w:r>
        <w:t xml:space="preserve">Brochure / flyer / poster</w:t>
      </w:r>
    </w:p>
    <w:p>
      <w:pPr>
        <w:pStyle w:val="Compact"/>
        <w:numPr>
          <w:ilvl w:val="1"/>
          <w:numId w:val="1143"/>
        </w:numPr>
      </w:pPr>
      <w:r>
        <w:t xml:space="preserve">Public event</w:t>
      </w:r>
    </w:p>
    <w:p>
      <w:pPr>
        <w:pStyle w:val="Compact"/>
        <w:numPr>
          <w:ilvl w:val="1"/>
          <w:numId w:val="1144"/>
        </w:numPr>
      </w:pPr>
      <w:r>
        <w:t xml:space="preserve">Podcast / interview</w:t>
      </w:r>
    </w:p>
    <w:p>
      <w:pPr>
        <w:pStyle w:val="Compact"/>
        <w:numPr>
          <w:ilvl w:val="1"/>
          <w:numId w:val="1145"/>
        </w:numPr>
      </w:pPr>
      <w:r>
        <w:t xml:space="preserve">Exhibition</w:t>
      </w:r>
    </w:p>
    <w:p>
      <w:pPr>
        <w:pStyle w:val="Compact"/>
        <w:numPr>
          <w:ilvl w:val="1"/>
          <w:numId w:val="1146"/>
        </w:numPr>
      </w:pPr>
      <w:r>
        <w:t xml:space="preserve">Other:</w:t>
      </w:r>
    </w:p>
    <w:p>
      <w:pPr>
        <w:pStyle w:val="Compact"/>
        <w:numPr>
          <w:ilvl w:val="0"/>
          <w:numId w:val="1137"/>
        </w:numPr>
      </w:pPr>
      <w:r>
        <w:rPr>
          <w:b/>
          <w:bCs/>
        </w:rPr>
        <w:t xml:space="preserve">Target audience</w:t>
      </w:r>
      <w:r>
        <w:t xml:space="preserve"> </w:t>
      </w:r>
      <w:r>
        <w:t xml:space="preserve">(multi-select):</w:t>
      </w:r>
    </w:p>
    <w:p>
      <w:pPr>
        <w:pStyle w:val="Compact"/>
        <w:numPr>
          <w:ilvl w:val="1"/>
          <w:numId w:val="1147"/>
        </w:numPr>
      </w:pPr>
      <w:r>
        <w:t xml:space="preserve">General public</w:t>
      </w:r>
    </w:p>
    <w:p>
      <w:pPr>
        <w:pStyle w:val="Compact"/>
        <w:numPr>
          <w:ilvl w:val="1"/>
          <w:numId w:val="1148"/>
        </w:numPr>
      </w:pPr>
      <w:r>
        <w:t xml:space="preserve">Industry, business</w:t>
      </w:r>
    </w:p>
    <w:p>
      <w:pPr>
        <w:pStyle w:val="Compact"/>
        <w:numPr>
          <w:ilvl w:val="1"/>
          <w:numId w:val="1149"/>
        </w:numPr>
      </w:pPr>
      <w:r>
        <w:t xml:space="preserve">Investors</w:t>
      </w:r>
    </w:p>
    <w:p>
      <w:pPr>
        <w:pStyle w:val="Compact"/>
        <w:numPr>
          <w:ilvl w:val="1"/>
          <w:numId w:val="1150"/>
        </w:numPr>
      </w:pPr>
      <w:r>
        <w:t xml:space="preserve">Policy makers</w:t>
      </w:r>
    </w:p>
    <w:p>
      <w:pPr>
        <w:pStyle w:val="Compact"/>
        <w:numPr>
          <w:ilvl w:val="1"/>
          <w:numId w:val="1151"/>
        </w:numPr>
      </w:pPr>
      <w:r>
        <w:t xml:space="preserve">Media</w:t>
      </w:r>
    </w:p>
    <w:p>
      <w:pPr>
        <w:pStyle w:val="Compact"/>
        <w:numPr>
          <w:ilvl w:val="1"/>
          <w:numId w:val="1152"/>
        </w:numPr>
      </w:pPr>
      <w:r>
        <w:t xml:space="preserve">Local community</w:t>
      </w:r>
    </w:p>
    <w:p>
      <w:pPr>
        <w:pStyle w:val="Compact"/>
        <w:numPr>
          <w:ilvl w:val="1"/>
          <w:numId w:val="1153"/>
        </w:numPr>
      </w:pPr>
      <w:r>
        <w:t xml:space="preserve">Other:</w:t>
      </w:r>
    </w:p>
    <w:p>
      <w:pPr>
        <w:pStyle w:val="Compact"/>
        <w:numPr>
          <w:ilvl w:val="0"/>
          <w:numId w:val="1137"/>
        </w:numPr>
      </w:pPr>
      <w:r>
        <w:rPr>
          <w:b/>
          <w:bCs/>
        </w:rPr>
        <w:t xml:space="preserve">Objective</w:t>
      </w:r>
      <w:r>
        <w:t xml:space="preserve"> </w:t>
      </w:r>
      <w:r>
        <w:t xml:space="preserve">(max 200 characters, with reference to a specific project output):</w:t>
      </w:r>
    </w:p>
    <w:p>
      <w:pPr>
        <w:pStyle w:val="Compact"/>
        <w:numPr>
          <w:ilvl w:val="0"/>
          <w:numId w:val="1137"/>
        </w:numPr>
      </w:pPr>
      <w:r>
        <w:rPr>
          <w:b/>
          <w:bCs/>
        </w:rPr>
        <w:t xml:space="preserve">Date</w:t>
      </w:r>
      <w:r>
        <w:t xml:space="preserve"> </w:t>
      </w:r>
      <w:r>
        <w:t xml:space="preserve">(dd/mm/yyyy):</w:t>
      </w:r>
    </w:p>
    <w:p>
      <w:pPr>
        <w:pStyle w:val="Compact"/>
        <w:numPr>
          <w:ilvl w:val="0"/>
          <w:numId w:val="1137"/>
        </w:numPr>
      </w:pPr>
      <w:r>
        <w:rPr>
          <w:b/>
          <w:bCs/>
        </w:rPr>
        <w:t xml:space="preserve">Channel / venue</w:t>
      </w:r>
      <w:r>
        <w:t xml:space="preserve"> </w:t>
      </w:r>
      <w:r>
        <w:t xml:space="preserve">(URL or physical location):</w:t>
      </w:r>
    </w:p>
    <w:p>
      <w:pPr>
        <w:pStyle w:val="Compact"/>
        <w:numPr>
          <w:ilvl w:val="0"/>
          <w:numId w:val="1137"/>
        </w:numPr>
      </w:pPr>
      <w:r>
        <w:rPr>
          <w:b/>
          <w:bCs/>
        </w:rPr>
        <w:t xml:space="preserve">Reach</w:t>
      </w:r>
      <w:r>
        <w:t xml:space="preserve"> </w:t>
      </w:r>
      <w:r>
        <w:t xml:space="preserve">(views, followers, participants, circulation):</w:t>
      </w:r>
    </w:p>
    <w:p>
      <w:pPr>
        <w:pStyle w:val="Compact"/>
        <w:numPr>
          <w:ilvl w:val="0"/>
          <w:numId w:val="1137"/>
        </w:numPr>
      </w:pPr>
      <w:r>
        <w:rPr>
          <w:b/>
          <w:bCs/>
        </w:rPr>
        <w:t xml:space="preserve">EU emblem and funding statement present?</w:t>
      </w:r>
      <w:r>
        <w:t xml:space="preserve"> </w:t>
      </w:r>
      <w:r>
        <w:t xml:space="preserve">[ ] Yes / [ ] No / [ ] N/A</w:t>
      </w:r>
    </w:p>
    <w:p>
      <w:pPr>
        <w:pStyle w:val="Compact"/>
        <w:numPr>
          <w:ilvl w:val="0"/>
          <w:numId w:val="1137"/>
        </w:numPr>
      </w:pPr>
      <w:r>
        <w:rPr>
          <w:b/>
          <w:bCs/>
        </w:rPr>
        <w:t xml:space="preserve">Was CINEA informed</w:t>
      </w:r>
      <w:r>
        <w:t xml:space="preserve"> </w:t>
      </w:r>
      <w:r>
        <w:t xml:space="preserve">(for major-media-impact activities)? [ ] Yes / [ ] No / [ ] N/A</w:t>
      </w:r>
    </w:p>
    <w:bookmarkEnd w:id="35"/>
    <w:bookmarkStart w:id="36" w:name="X5f0dfc9fbf49635674ef5db544e3990207d717f"/>
    <w:p>
      <w:pPr>
        <w:pStyle w:val="Heading3"/>
      </w:pPr>
      <w:r>
        <w:t xml:space="preserve">Communication activity [2], [3], … — repeat as needed</w:t>
      </w:r>
    </w:p>
    <w:p>
      <w:r>
        <w:pict>
          <v:rect style="width:0;height:1.5pt" o:hralign="center" o:hrstd="t" o:hr="t"/>
        </w:pict>
      </w:r>
    </w:p>
    <w:bookmarkEnd w:id="36"/>
    <w:bookmarkEnd w:id="37"/>
    <w:bookmarkStart w:id="46" w:name="X1e06cf6c476d65b8ccd2afd7394d04a85c3162b"/>
    <w:p>
      <w:pPr>
        <w:pStyle w:val="Heading2"/>
      </w:pPr>
      <w:r>
        <w:t xml:space="preserve">Section 10 — Individual Exploitation Plan (narrative, per partner)</w:t>
      </w:r>
    </w:p>
    <w:p>
      <w:pPr>
        <w:pStyle w:val="FirstParagraph"/>
      </w:pPr>
      <w:r>
        <w:rPr>
          <w:i/>
          <w:iCs/>
        </w:rPr>
        <w:t xml:space="preserve">This section captures the partner’s own commercial or non-commercial strategy for exploiting SUREWAVE results — the</w:t>
      </w:r>
      <w:r>
        <w:rPr>
          <w:i/>
          <w:iCs/>
        </w:rPr>
        <w:t xml:space="preserve"> </w:t>
      </w:r>
      <w:r>
        <w:rPr>
          <w:i/>
          <w:iCs/>
        </w:rPr>
        <w:t xml:space="preserve">“Individual Exploitation Plan”</w:t>
      </w:r>
      <w:r>
        <w:rPr>
          <w:i/>
          <w:iCs/>
        </w:rPr>
        <w:t xml:space="preserve"> </w:t>
      </w:r>
      <w:r>
        <w:rPr>
          <w:i/>
          <w:iCs/>
        </w:rPr>
        <w:t xml:space="preserve">required by Annex 1 §Task 8.4. Sunlit Sea aggregates individual plans into the Joint Exploitation Plan for D8.4.</w:t>
      </w:r>
    </w:p>
    <w:bookmarkStart w:id="38" w:name="positioning-in-the-value-chain"/>
    <w:p>
      <w:pPr>
        <w:pStyle w:val="Heading3"/>
      </w:pPr>
      <w:r>
        <w:t xml:space="preserve">10.1 Positioning in the value chain</w:t>
      </w:r>
    </w:p>
    <w:p>
      <w:pPr>
        <w:pStyle w:val="FirstParagraph"/>
      </w:pPr>
      <w:r>
        <w:t xml:space="preserve">Describe where your organisation sits in the SUREWAVE value chain and how your SUREWAVE KERs fit your organisation’s overall product / service / research portfolio:</w:t>
      </w:r>
    </w:p>
    <w:bookmarkEnd w:id="38"/>
    <w:bookmarkStart w:id="40" w:name="commercial-strategy-per-ker"/>
    <w:p>
      <w:pPr>
        <w:pStyle w:val="Heading3"/>
      </w:pPr>
      <w:r>
        <w:t xml:space="preserve">10.2 Commercial strategy per KER</w:t>
      </w:r>
    </w:p>
    <w:p>
      <w:pPr>
        <w:pStyle w:val="FirstParagraph"/>
      </w:pPr>
      <w:r>
        <w:rPr>
          <w:i/>
          <w:iCs/>
        </w:rPr>
        <w:t xml:space="preserve">For each SUREWAVE KER your organisation owns or contributes to, describe the exploitation strategy.</w:t>
      </w:r>
    </w:p>
    <w:bookmarkStart w:id="39" w:name="ker-n"/>
    <w:p>
      <w:pPr>
        <w:pStyle w:val="Heading4"/>
      </w:pPr>
      <w:r>
        <w:t xml:space="preserve">KER [n]</w:t>
      </w:r>
    </w:p>
    <w:p>
      <w:pPr>
        <w:pStyle w:val="Compact"/>
        <w:numPr>
          <w:ilvl w:val="0"/>
          <w:numId w:val="1154"/>
        </w:numPr>
      </w:pPr>
      <w:r>
        <w:rPr>
          <w:b/>
          <w:bCs/>
        </w:rPr>
        <w:t xml:space="preserve">KER name and mapping</w:t>
      </w:r>
      <w:r>
        <w:t xml:space="preserve"> </w:t>
      </w:r>
      <w:r>
        <w:t xml:space="preserve">(KER1–KER7, per Section 1):</w:t>
      </w:r>
    </w:p>
    <w:p>
      <w:pPr>
        <w:pStyle w:val="Compact"/>
        <w:numPr>
          <w:ilvl w:val="0"/>
          <w:numId w:val="1154"/>
        </w:numPr>
      </w:pPr>
      <w:r>
        <w:rPr>
          <w:b/>
          <w:bCs/>
        </w:rPr>
        <w:t xml:space="preserve">Your role</w:t>
      </w:r>
      <w:r>
        <w:t xml:space="preserve"> </w:t>
      </w:r>
      <w:r>
        <w:t xml:space="preserve">(owner / joint owner / contributor):</w:t>
      </w:r>
    </w:p>
    <w:p>
      <w:pPr>
        <w:pStyle w:val="Compact"/>
        <w:numPr>
          <w:ilvl w:val="0"/>
          <w:numId w:val="1154"/>
        </w:numPr>
      </w:pPr>
      <w:r>
        <w:rPr>
          <w:b/>
          <w:bCs/>
        </w:rPr>
        <w:t xml:space="preserve">Exploitation route</w:t>
      </w:r>
      <w:r>
        <w:t xml:space="preserve"> </w:t>
      </w:r>
      <w:r>
        <w:t xml:space="preserve">(in-house commercialisation / licensing / joint venture / spin-out / open source / open access / academic use only / other):</w:t>
      </w:r>
    </w:p>
    <w:p>
      <w:pPr>
        <w:pStyle w:val="Compact"/>
        <w:numPr>
          <w:ilvl w:val="0"/>
          <w:numId w:val="1154"/>
        </w:numPr>
      </w:pPr>
      <w:r>
        <w:rPr>
          <w:b/>
          <w:bCs/>
        </w:rPr>
        <w:t xml:space="preserve">Target customer segments</w:t>
      </w:r>
      <w:r>
        <w:t xml:space="preserve">:</w:t>
      </w:r>
    </w:p>
    <w:p>
      <w:pPr>
        <w:pStyle w:val="Compact"/>
        <w:numPr>
          <w:ilvl w:val="0"/>
          <w:numId w:val="1154"/>
        </w:numPr>
      </w:pPr>
      <w:r>
        <w:rPr>
          <w:b/>
          <w:bCs/>
        </w:rPr>
        <w:t xml:space="preserve">Pricing rationale or non-commercial rationale</w:t>
      </w:r>
      <w:r>
        <w:t xml:space="preserve">:</w:t>
      </w:r>
    </w:p>
    <w:p>
      <w:pPr>
        <w:pStyle w:val="Compact"/>
        <w:numPr>
          <w:ilvl w:val="0"/>
          <w:numId w:val="1154"/>
        </w:numPr>
      </w:pPr>
      <w:r>
        <w:rPr>
          <w:b/>
          <w:bCs/>
        </w:rPr>
        <w:t xml:space="preserve">Route to market</w:t>
      </w:r>
      <w:r>
        <w:t xml:space="preserve"> </w:t>
      </w:r>
      <w:r>
        <w:t xml:space="preserve">(direct / partners / channel / other):</w:t>
      </w:r>
    </w:p>
    <w:p>
      <w:pPr>
        <w:pStyle w:val="Compact"/>
        <w:numPr>
          <w:ilvl w:val="0"/>
          <w:numId w:val="1154"/>
        </w:numPr>
      </w:pPr>
      <w:r>
        <w:rPr>
          <w:b/>
          <w:bCs/>
        </w:rPr>
        <w:t xml:space="preserve">Timeline to market or first deployment</w:t>
      </w:r>
      <w:r>
        <w:t xml:space="preserve"> </w:t>
      </w:r>
      <w:r>
        <w:t xml:space="preserve">(months from project end):</w:t>
      </w:r>
    </w:p>
    <w:p>
      <w:pPr>
        <w:pStyle w:val="Compact"/>
        <w:numPr>
          <w:ilvl w:val="0"/>
          <w:numId w:val="1154"/>
        </w:numPr>
      </w:pPr>
      <w:r>
        <w:rPr>
          <w:b/>
          <w:bCs/>
        </w:rPr>
        <w:t xml:space="preserve">Investment / financing needed</w:t>
      </w:r>
      <w:r>
        <w:t xml:space="preserve"> </w:t>
      </w:r>
      <w:r>
        <w:t xml:space="preserve">(own funds / follow-on grants / private financing / other):</w:t>
      </w:r>
    </w:p>
    <w:p>
      <w:pPr>
        <w:pStyle w:val="Compact"/>
        <w:numPr>
          <w:ilvl w:val="0"/>
          <w:numId w:val="1154"/>
        </w:numPr>
      </w:pPr>
      <w:r>
        <w:rPr>
          <w:b/>
          <w:bCs/>
        </w:rPr>
        <w:t xml:space="preserve">Expected cumulative revenue / deployment at 4 years post-project</w:t>
      </w:r>
      <w:r>
        <w:t xml:space="preserve"> </w:t>
      </w:r>
      <w:r>
        <w:t xml:space="preserve">(per GA Article 16 window):</w:t>
      </w:r>
    </w:p>
    <w:p>
      <w:pPr>
        <w:pStyle w:val="Compact"/>
        <w:numPr>
          <w:ilvl w:val="0"/>
          <w:numId w:val="1154"/>
        </w:numPr>
      </w:pPr>
      <w:r>
        <w:rPr>
          <w:b/>
          <w:bCs/>
        </w:rPr>
        <w:t xml:space="preserve">Barriers to exploitation</w:t>
      </w:r>
      <w:r>
        <w:t xml:space="preserve"> </w:t>
      </w:r>
      <w:r>
        <w:t xml:space="preserve">(technical, regulatory, market, IP):</w:t>
      </w:r>
    </w:p>
    <w:p>
      <w:pPr>
        <w:pStyle w:val="Compact"/>
        <w:numPr>
          <w:ilvl w:val="0"/>
          <w:numId w:val="1154"/>
        </w:numPr>
      </w:pPr>
      <w:r>
        <w:rPr>
          <w:b/>
          <w:bCs/>
        </w:rPr>
        <w:t xml:space="preserve">Support requested from the consortium or the WP8 leader</w:t>
      </w:r>
      <w:r>
        <w:t xml:space="preserve">:</w:t>
      </w:r>
    </w:p>
    <w:p>
      <w:pPr>
        <w:pStyle w:val="FirstParagraph"/>
      </w:pPr>
      <w:r>
        <w:rPr>
          <w:i/>
          <w:iCs/>
        </w:rPr>
        <w:t xml:space="preserve">(Repeat for each KER.)</w:t>
      </w:r>
    </w:p>
    <w:bookmarkEnd w:id="39"/>
    <w:bookmarkEnd w:id="40"/>
    <w:bookmarkStart w:id="41" w:name="X3ca4eb9184e87d67fb9646b340afe5657fd51f2"/>
    <w:p>
      <w:pPr>
        <w:pStyle w:val="Heading3"/>
      </w:pPr>
      <w:r>
        <w:t xml:space="preserve">10.3 Access rights and inter-partner agreements</w:t>
      </w:r>
    </w:p>
    <w:p>
      <w:pPr>
        <w:pStyle w:val="Compact"/>
        <w:numPr>
          <w:ilvl w:val="0"/>
          <w:numId w:val="1155"/>
        </w:numPr>
      </w:pPr>
      <w:r>
        <w:rPr>
          <w:b/>
          <w:bCs/>
        </w:rPr>
        <w:t xml:space="preserve">Which SUREWAVE partners’ background do you need access to for your exploitation?</w:t>
      </w:r>
      <w:r>
        <w:t xml:space="preserve">:</w:t>
      </w:r>
    </w:p>
    <w:p>
      <w:pPr>
        <w:pStyle w:val="Compact"/>
        <w:numPr>
          <w:ilvl w:val="0"/>
          <w:numId w:val="1155"/>
        </w:numPr>
      </w:pPr>
      <w:r>
        <w:rPr>
          <w:b/>
          <w:bCs/>
        </w:rPr>
        <w:t xml:space="preserve">Which SUREWAVE partners’ foreground (results) do you need access to for your exploitation?</w:t>
      </w:r>
      <w:r>
        <w:t xml:space="preserve">:</w:t>
      </w:r>
    </w:p>
    <w:p>
      <w:pPr>
        <w:pStyle w:val="Compact"/>
        <w:numPr>
          <w:ilvl w:val="0"/>
          <w:numId w:val="1155"/>
        </w:numPr>
      </w:pPr>
      <w:r>
        <w:rPr>
          <w:b/>
          <w:bCs/>
        </w:rPr>
        <w:t xml:space="preserve">Access-rights terms you propose</w:t>
      </w:r>
      <w:r>
        <w:t xml:space="preserve"> </w:t>
      </w:r>
      <w:r>
        <w:t xml:space="preserve">(royalty-free / fair and reasonable / already covered in Consortium Agreement / other):</w:t>
      </w:r>
    </w:p>
    <w:p>
      <w:pPr>
        <w:pStyle w:val="Compact"/>
        <w:numPr>
          <w:ilvl w:val="0"/>
          <w:numId w:val="1155"/>
        </w:numPr>
      </w:pPr>
      <w:r>
        <w:rPr>
          <w:b/>
          <w:bCs/>
        </w:rPr>
        <w:t xml:space="preserve">Any joint-ownership agreements you have or plan to sign</w:t>
      </w:r>
      <w:r>
        <w:t xml:space="preserve"> </w:t>
      </w:r>
      <w:r>
        <w:t xml:space="preserve">(with which partners, for which results):</w:t>
      </w:r>
    </w:p>
    <w:p>
      <w:pPr>
        <w:pStyle w:val="Compact"/>
        <w:numPr>
          <w:ilvl w:val="0"/>
          <w:numId w:val="1155"/>
        </w:numPr>
      </w:pPr>
      <w:r>
        <w:rPr>
          <w:b/>
          <w:bCs/>
        </w:rPr>
        <w:t xml:space="preserve">Any planned transfers of ownership or exclusive licences to third parties</w:t>
      </w:r>
      <w:r>
        <w:t xml:space="preserve"> </w:t>
      </w:r>
      <w:r>
        <w:t xml:space="preserve">(if yes: 45-day notice to other beneficiaries + GA notification if transfer to non-EU / non-associated country):</w:t>
      </w:r>
    </w:p>
    <w:bookmarkEnd w:id="41"/>
    <w:bookmarkStart w:id="42" w:name="post-project-continuity-four-year-window"/>
    <w:p>
      <w:pPr>
        <w:pStyle w:val="Heading3"/>
      </w:pPr>
      <w:r>
        <w:t xml:space="preserve">10.4 Post-project continuity (four-year window)</w:t>
      </w:r>
    </w:p>
    <w:p>
      <w:pPr>
        <w:pStyle w:val="Compact"/>
        <w:numPr>
          <w:ilvl w:val="0"/>
          <w:numId w:val="1156"/>
        </w:numPr>
      </w:pPr>
      <w:r>
        <w:rPr>
          <w:b/>
          <w:bCs/>
        </w:rPr>
        <w:t xml:space="preserve">Who in your organisation owns the continued exploitation effort for each of your KERs after project end?</w:t>
      </w:r>
      <w:r>
        <w:t xml:space="preserve">:</w:t>
      </w:r>
    </w:p>
    <w:p>
      <w:pPr>
        <w:pStyle w:val="Compact"/>
        <w:numPr>
          <w:ilvl w:val="0"/>
          <w:numId w:val="1156"/>
        </w:numPr>
      </w:pPr>
      <w:r>
        <w:rPr>
          <w:b/>
          <w:bCs/>
        </w:rPr>
        <w:t xml:space="preserve">What is your plan if a KER is not exploited within one year post-project?</w:t>
      </w:r>
      <w:r>
        <w:t xml:space="preserve"> </w:t>
      </w:r>
      <w:r>
        <w:t xml:space="preserve">(mandatory HRP upload)</w:t>
      </w:r>
    </w:p>
    <w:p>
      <w:pPr>
        <w:pStyle w:val="Compact"/>
        <w:numPr>
          <w:ilvl w:val="0"/>
          <w:numId w:val="1156"/>
        </w:numPr>
      </w:pPr>
      <w:r>
        <w:rPr>
          <w:b/>
          <w:bCs/>
        </w:rPr>
        <w:t xml:space="preserve">Will you contribute to the joint post-project reporting?</w:t>
      </w:r>
      <w:r>
        <w:t xml:space="preserve"> </w:t>
      </w:r>
      <w:r>
        <w:t xml:space="preserve">[ ] Yes / [ ] No / discuss with WP8 leader</w:t>
      </w:r>
    </w:p>
    <w:p>
      <w:pPr>
        <w:pStyle w:val="Compact"/>
        <w:numPr>
          <w:ilvl w:val="0"/>
          <w:numId w:val="1156"/>
        </w:numPr>
      </w:pPr>
      <w:r>
        <w:rPr>
          <w:b/>
          <w:bCs/>
        </w:rPr>
        <w:t xml:space="preserve">Anticipated follow-on projects, grants, or investments that continue exploitation of SUREWAVE results</w:t>
      </w:r>
      <w:r>
        <w:t xml:space="preserve">:</w:t>
      </w:r>
    </w:p>
    <w:bookmarkEnd w:id="42"/>
    <w:bookmarkStart w:id="43" w:name="standardisation-intent-if-any"/>
    <w:p>
      <w:pPr>
        <w:pStyle w:val="Heading3"/>
      </w:pPr>
      <w:r>
        <w:t xml:space="preserve">10.5 Standardisation intent (if any)</w:t>
      </w:r>
    </w:p>
    <w:p>
      <w:pPr>
        <w:pStyle w:val="Compact"/>
        <w:numPr>
          <w:ilvl w:val="0"/>
          <w:numId w:val="1157"/>
        </w:numPr>
      </w:pPr>
      <w:r>
        <w:rPr>
          <w:b/>
          <w:bCs/>
        </w:rPr>
        <w:t xml:space="preserve">Which of your KERs have standardisation potential?</w:t>
      </w:r>
      <w:r>
        <w:t xml:space="preserve">:</w:t>
      </w:r>
    </w:p>
    <w:p>
      <w:pPr>
        <w:pStyle w:val="Compact"/>
        <w:numPr>
          <w:ilvl w:val="0"/>
          <w:numId w:val="1157"/>
        </w:numPr>
      </w:pPr>
      <w:r>
        <w:rPr>
          <w:b/>
          <w:bCs/>
        </w:rPr>
        <w:t xml:space="preserve">Which standardisation bodies would you engage?</w:t>
      </w:r>
      <w:r>
        <w:t xml:space="preserve">:</w:t>
      </w:r>
    </w:p>
    <w:p>
      <w:pPr>
        <w:pStyle w:val="Compact"/>
        <w:numPr>
          <w:ilvl w:val="0"/>
          <w:numId w:val="1157"/>
        </w:numPr>
      </w:pPr>
      <w:r>
        <w:rPr>
          <w:b/>
          <w:bCs/>
        </w:rPr>
        <w:t xml:space="preserve">Have you engaged the Horizon Standardisation Booster?</w:t>
      </w:r>
      <w:r>
        <w:t xml:space="preserve"> </w:t>
      </w:r>
      <w:r>
        <w:t xml:space="preserve">[ ] Yes / [ ] No / [ ] Not yet</w:t>
      </w:r>
    </w:p>
    <w:p>
      <w:pPr>
        <w:pStyle w:val="Compact"/>
        <w:numPr>
          <w:ilvl w:val="0"/>
          <w:numId w:val="1157"/>
        </w:numPr>
      </w:pPr>
      <w:r>
        <w:rPr>
          <w:b/>
          <w:bCs/>
        </w:rPr>
        <w:t xml:space="preserve">Will you ask the standardisation body to include the SUREWAVE / HE funding statement?</w:t>
      </w:r>
      <w:r>
        <w:t xml:space="preserve"> </w:t>
      </w:r>
      <w:r>
        <w:t xml:space="preserve">[ ] Yes / [ ] No / [ ] N/A</w:t>
      </w:r>
    </w:p>
    <w:bookmarkEnd w:id="43"/>
    <w:bookmarkStart w:id="44" w:name="engagement-with-ec-support-services"/>
    <w:p>
      <w:pPr>
        <w:pStyle w:val="Heading3"/>
      </w:pPr>
      <w:r>
        <w:t xml:space="preserve">10.6 Engagement with EC support services</w:t>
      </w:r>
    </w:p>
    <w:p>
      <w:pPr>
        <w:pStyle w:val="Compact"/>
        <w:numPr>
          <w:ilvl w:val="0"/>
          <w:numId w:val="1158"/>
        </w:numPr>
      </w:pPr>
      <w:r>
        <w:rPr>
          <w:b/>
          <w:bCs/>
        </w:rPr>
        <w:t xml:space="preserve">Have you engaged the Horizon Results Booster?</w:t>
      </w:r>
      <w:r>
        <w:t xml:space="preserve"> </w:t>
      </w:r>
      <w:r>
        <w:t xml:space="preserve">[ ] Yes / [ ] No — plan:</w:t>
      </w:r>
    </w:p>
    <w:p>
      <w:pPr>
        <w:pStyle w:val="Compact"/>
        <w:numPr>
          <w:ilvl w:val="0"/>
          <w:numId w:val="1158"/>
        </w:numPr>
      </w:pPr>
      <w:r>
        <w:rPr>
          <w:b/>
          <w:bCs/>
        </w:rPr>
        <w:t xml:space="preserve">Have you used the EU IP Helpdesk?</w:t>
      </w:r>
      <w:r>
        <w:t xml:space="preserve"> </w:t>
      </w:r>
      <w:r>
        <w:t xml:space="preserve">[ ] Yes / [ ] No — plan:</w:t>
      </w:r>
    </w:p>
    <w:p>
      <w:pPr>
        <w:pStyle w:val="Compact"/>
        <w:numPr>
          <w:ilvl w:val="0"/>
          <w:numId w:val="1158"/>
        </w:numPr>
      </w:pPr>
      <w:r>
        <w:rPr>
          <w:b/>
          <w:bCs/>
        </w:rPr>
        <w:t xml:space="preserve">Have you been flagged by the Innovation Radar?</w:t>
      </w:r>
      <w:r>
        <w:t xml:space="preserve"> </w:t>
      </w:r>
      <w:r>
        <w:t xml:space="preserve">[ ] Yes / [ ] No — details:</w:t>
      </w:r>
    </w:p>
    <w:p>
      <w:pPr>
        <w:pStyle w:val="Compact"/>
        <w:numPr>
          <w:ilvl w:val="0"/>
          <w:numId w:val="1158"/>
        </w:numPr>
      </w:pPr>
      <w:r>
        <w:rPr>
          <w:b/>
          <w:bCs/>
        </w:rPr>
        <w:t xml:space="preserve">Any KERs already registered on the Horizon Results Platform?</w:t>
      </w:r>
      <w:r>
        <w:t xml:space="preserve"> </w:t>
      </w:r>
      <w:r>
        <w:t xml:space="preserve">[ ] Yes / [ ] No — plan:</w:t>
      </w:r>
    </w:p>
    <w:bookmarkEnd w:id="44"/>
    <w:bookmarkStart w:id="45" w:name="anything-else"/>
    <w:p>
      <w:pPr>
        <w:pStyle w:val="Heading3"/>
      </w:pPr>
      <w:r>
        <w:t xml:space="preserve">10.7 Anything else</w:t>
      </w:r>
    </w:p>
    <w:p>
      <w:pPr>
        <w:pStyle w:val="FirstParagraph"/>
      </w:pPr>
      <w:r>
        <w:t xml:space="preserve">Additional information the WP8 leader should know for D8.4, the DECMP update, the internal exploitation workshops, or the Continuous Reporting Module entries:</w:t>
      </w:r>
    </w:p>
    <w:p>
      <w:r>
        <w:pict>
          <v:rect style="width:0;height:1.5pt" o:hralign="center" o:hrstd="t" o:hr="t"/>
        </w:pict>
      </w:r>
    </w:p>
    <w:bookmarkEnd w:id="45"/>
    <w:bookmarkEnd w:id="46"/>
    <w:bookmarkStart w:id="47" w:name="return-instructions"/>
    <w:p>
      <w:pPr>
        <w:pStyle w:val="Heading2"/>
      </w:pPr>
      <w:r>
        <w:t xml:space="preserve">Return instructions</w:t>
      </w:r>
    </w:p>
    <w:p>
      <w:pPr>
        <w:pStyle w:val="Compact"/>
        <w:numPr>
          <w:ilvl w:val="0"/>
          <w:numId w:val="1159"/>
        </w:numPr>
      </w:pPr>
      <w:r>
        <w:t xml:space="preserve">Save your completed copy as</w:t>
      </w:r>
      <w:r>
        <w:t xml:space="preserve"> </w:t>
      </w:r>
      <w:r>
        <w:rPr>
          <w:rStyle w:val="VerbatimChar"/>
        </w:rPr>
        <w:t xml:space="preserve">&lt;partner_short_name&gt;_exploitation_input_&lt;yyyy-mm-dd&gt;</w:t>
      </w:r>
      <w:r>
        <w:t xml:space="preserve"> </w:t>
      </w:r>
      <w:r>
        <w:t xml:space="preserve">(Word document or equivalent).</w:t>
      </w:r>
    </w:p>
    <w:p>
      <w:pPr>
        <w:pStyle w:val="Compact"/>
        <w:numPr>
          <w:ilvl w:val="0"/>
          <w:numId w:val="1159"/>
        </w:numPr>
      </w:pPr>
      <w:r>
        <w:t xml:space="preserve">Send to:</w:t>
      </w:r>
      <w:r>
        <w:t xml:space="preserve"> </w:t>
      </w:r>
      <w:r>
        <w:rPr>
          <w:b/>
          <w:bCs/>
        </w:rPr>
        <w:t xml:space="preserve">Eirik Larsen — eirik.larsen@sunlitsea.no</w:t>
      </w:r>
      <w:r>
        <w:t xml:space="preserve"> </w:t>
      </w:r>
      <w:r>
        <w:t xml:space="preserve">(WP8 leader, Sunlit Sea).</w:t>
      </w:r>
    </w:p>
    <w:p>
      <w:pPr>
        <w:pStyle w:val="Compact"/>
        <w:numPr>
          <w:ilvl w:val="0"/>
          <w:numId w:val="1159"/>
        </w:numPr>
      </w:pPr>
      <w:r>
        <w:t xml:space="preserve">Deadline: as specified in the covering email; default is 15 working days before the next Periodic Report submission.</w:t>
      </w:r>
    </w:p>
    <w:p>
      <w:pPr>
        <w:pStyle w:val="Compact"/>
        <w:numPr>
          <w:ilvl w:val="0"/>
          <w:numId w:val="1159"/>
        </w:numPr>
      </w:pPr>
      <w:r>
        <w:t xml:space="preserve">For questions on any field, contact Eirik directly. For IPR-specific questions, cc</w:t>
      </w:r>
      <w:r>
        <w:t xml:space="preserve"> </w:t>
      </w:r>
      <w:r>
        <w:rPr>
          <w:b/>
          <w:bCs/>
        </w:rPr>
        <w:t xml:space="preserve">SINTEF</w:t>
      </w:r>
      <w:r>
        <w:t xml:space="preserve"> </w:t>
      </w:r>
      <w:r>
        <w:t xml:space="preserve">(project coordinator and IP manager).</w:t>
      </w:r>
    </w:p>
    <w:bookmarkEnd w:id="47"/>
    <w:bookmarkStart w:id="48" w:name="what-happens-next"/>
    <w:p>
      <w:pPr>
        <w:pStyle w:val="Heading2"/>
      </w:pPr>
      <w:r>
        <w:t xml:space="preserve">What happens next</w:t>
      </w:r>
    </w:p>
    <w:p>
      <w:pPr>
        <w:pStyle w:val="FirstParagraph"/>
      </w:pPr>
      <w:r>
        <w:t xml:space="preserve">Sunlit Sea (WP8) will:</w:t>
      </w:r>
    </w:p>
    <w:p>
      <w:pPr>
        <w:pStyle w:val="Compact"/>
        <w:numPr>
          <w:ilvl w:val="0"/>
          <w:numId w:val="1160"/>
        </w:numPr>
      </w:pPr>
      <w:r>
        <w:t xml:space="preserve">Consolidate all partner inputs into the consortium-level view.</w:t>
      </w:r>
    </w:p>
    <w:p>
      <w:pPr>
        <w:pStyle w:val="Compact"/>
        <w:numPr>
          <w:ilvl w:val="0"/>
          <w:numId w:val="1160"/>
        </w:numPr>
      </w:pPr>
      <w:r>
        <w:t xml:space="preserve">Update the Results Ownership List with SINTEF (blocking item for the final Periodic Report).</w:t>
      </w:r>
    </w:p>
    <w:p>
      <w:pPr>
        <w:pStyle w:val="Compact"/>
        <w:numPr>
          <w:ilvl w:val="0"/>
          <w:numId w:val="1160"/>
        </w:numPr>
      </w:pPr>
      <w:r>
        <w:t xml:space="preserve">Update the CRM screens in the EU Funding &amp; Tenders Portal so Part A of the Periodic Report is complete.</w:t>
      </w:r>
    </w:p>
    <w:p>
      <w:pPr>
        <w:pStyle w:val="Compact"/>
        <w:numPr>
          <w:ilvl w:val="0"/>
          <w:numId w:val="1160"/>
        </w:numPr>
      </w:pPr>
      <w:r>
        <w:t xml:space="preserve">Draft or update the narrative D&amp;E section of Part B of the Periodic Report.</w:t>
      </w:r>
    </w:p>
    <w:p>
      <w:pPr>
        <w:pStyle w:val="Compact"/>
        <w:numPr>
          <w:ilvl w:val="0"/>
          <w:numId w:val="1160"/>
        </w:numPr>
      </w:pPr>
      <w:r>
        <w:t xml:space="preserve">Update D8.4 (Exploitation Pathways &amp; Definitive Business Plan) and the Report on Exploitable Results.</w:t>
      </w:r>
    </w:p>
    <w:p>
      <w:pPr>
        <w:pStyle w:val="Compact"/>
        <w:numPr>
          <w:ilvl w:val="0"/>
          <w:numId w:val="1160"/>
        </w:numPr>
      </w:pPr>
      <w:r>
        <w:t xml:space="preserve">Feed material into the two internal exploitation workshops (Subtask 8.2.2) and the SINTEF-coordinator interaction with CINEA.</w:t>
      </w:r>
    </w:p>
    <w:p>
      <w:pPr>
        <w:pStyle w:val="Compact"/>
        <w:numPr>
          <w:ilvl w:val="0"/>
          <w:numId w:val="1160"/>
        </w:numPr>
      </w:pPr>
      <w:r>
        <w:t xml:space="preserve">Coordinate the post-project four-year exploitation window across the consortium.</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1"/>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1"/>
  </w:num>
  <w:num w:numId="1061">
    <w:abstractNumId w:val="991"/>
  </w:num>
  <w:num w:numId="1062">
    <w:abstractNumId w:val="991"/>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1"/>
  </w:num>
  <w:num w:numId="1070">
    <w:abstractNumId w:val="992"/>
  </w:num>
  <w:num w:numId="1071">
    <w:abstractNumId w:val="992"/>
  </w:num>
  <w:num w:numId="1072">
    <w:abstractNumId w:val="992"/>
  </w:num>
  <w:num w:numId="1073">
    <w:abstractNumId w:val="992"/>
  </w:num>
  <w:num w:numId="1074">
    <w:abstractNumId w:val="991"/>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1"/>
  </w:num>
  <w:num w:numId="1082">
    <w:abstractNumId w:val="992"/>
  </w:num>
  <w:num w:numId="1083">
    <w:abstractNumId w:val="992"/>
  </w:num>
  <w:num w:numId="1084">
    <w:abstractNumId w:val="992"/>
  </w:num>
  <w:num w:numId="1085">
    <w:abstractNumId w:val="992"/>
  </w:num>
  <w:num w:numId="1086">
    <w:abstractNumId w:val="992"/>
  </w:num>
  <w:num w:numId="1087">
    <w:abstractNumId w:val="991"/>
  </w:num>
  <w:num w:numId="1088">
    <w:abstractNumId w:val="991"/>
  </w:num>
  <w:num w:numId="1089">
    <w:abstractNumId w:val="991"/>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1"/>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2026-09-30T10:07:55Z</dcterms:created>
  <dcterms:modified xsi:type="dcterms:W3CDTF">2026-09-30T10:07:55Z</dcterms:modified>
</cp:coreProperties>
</file>

<file path=docProps/custom.xml><?xml version="1.0" encoding="utf-8"?>
<Properties xmlns="http://schemas.openxmlformats.org/officeDocument/2006/custom-properties" xmlns:vt="http://schemas.openxmlformats.org/officeDocument/2006/docPropsVTypes"/>
</file>