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yreprotokoll"/>
    <w:p>
      <w:pPr>
        <w:pStyle w:val="Heading1"/>
      </w:pPr>
      <w:r>
        <w:t xml:space="preserve">Styreprotokoll</w:t>
      </w:r>
    </w:p>
    <w:p>
      <w:pPr>
        <w:pStyle w:val="FirstParagraph"/>
      </w:pPr>
      <w:r>
        <w:t xml:space="preserve">Sunlit Sea AS, org.nr. 922 633 924</w:t>
      </w:r>
    </w:p>
    <w:p>
      <w:pPr>
        <w:pStyle w:val="BodyText"/>
      </w:pPr>
      <w:r>
        <w:t xml:space="preserve">Styrebehandling av revisors nummererte brev nr. 2/2025 datert 30.09.2026</w:t>
      </w:r>
    </w:p>
    <w:bookmarkStart w:id="18" w:name="møteopplysninger"/>
    <w:p>
      <w:pPr>
        <w:pStyle w:val="Heading2"/>
      </w:pPr>
      <w:r>
        <w:t xml:space="preserve">Møteopplysninger</w:t>
      </w:r>
    </w:p>
    <w:p>
      <w:pPr>
        <w:pStyle w:val="FirstParagraph"/>
      </w:pPr>
      <w:r>
        <w:t xml:space="preserve">Møteform: elektronisk styrebehandling, jf. aksjeloven § 6-19 annet ledd</w:t>
      </w:r>
      <w:r>
        <w:t xml:space="preserve"> </w:t>
      </w:r>
      <w:r>
        <w:t xml:space="preserve">Behandlingsdato: 9. oktober 2026</w:t>
      </w:r>
      <w:r>
        <w:t xml:space="preserve"> </w:t>
      </w:r>
      <w:r>
        <w:t xml:space="preserve">Deltakere: samtlige styremedlemmer</w:t>
      </w:r>
      <w:r>
        <w:t xml:space="preserve"> </w:t>
      </w:r>
      <w:r>
        <w:t xml:space="preserve">Protokollfører: Eirik Larsen</w:t>
      </w:r>
    </w:p>
    <w:bookmarkEnd w:id="18"/>
    <w:bookmarkStart w:id="22" w:name="Xa5d70996b436fa52c1bd7a69a995a498fc6625d"/>
    <w:p>
      <w:pPr>
        <w:pStyle w:val="Heading2"/>
      </w:pPr>
      <w:r>
        <w:t xml:space="preserve">Sak 1 — Behandling av nummerert brev nr. 2/2025 fra revisor</w:t>
      </w:r>
    </w:p>
    <w:p>
      <w:pPr>
        <w:pStyle w:val="FirstParagraph"/>
      </w:pPr>
      <w:r>
        <w:t xml:space="preserve">Styret har mottatt og gjennomgått brev fra Revisjonsselskapet Varder AS datert 30. september 2026, med rapportering etter revisorloven § 9-5. Brevet omtaler tre forhold knyttet til årsregnskapet for 2025: verdsettelse av immaterielle eiendeler, forutsetningen om fortsatt drift og for sent avlagt årsregnskap. Styret har behandlet forholdene som følger.</w:t>
      </w:r>
    </w:p>
    <w:bookmarkStart w:id="19" w:name="verdsettelse-av-immaterielle-eiendeler"/>
    <w:p>
      <w:pPr>
        <w:pStyle w:val="Heading3"/>
      </w:pPr>
      <w:r>
        <w:t xml:space="preserve">1.1 Verdsettelse av immaterielle eiendeler</w:t>
      </w:r>
    </w:p>
    <w:p>
      <w:pPr>
        <w:pStyle w:val="FirstParagraph"/>
      </w:pPr>
      <w:r>
        <w:t xml:space="preserve">Styret tar revisors varslede forbehold i konklusjonen til etterretning. Styret er innforstått med at balanseført utviklingskost på 21 702 tusen kr er vesentlig i forhold til samlet balanseført egenkapital, og at verdivurderingen bygger på forutsetninger knyttet til gen 2-produktets kommersielle potensial som etter sin natur ikke lar seg etterprøve ved ordinær revisjonshandling.</w:t>
      </w:r>
    </w:p>
    <w:p>
      <w:pPr>
        <w:pStyle w:val="BodyText"/>
      </w:pPr>
      <w:r>
        <w:t xml:space="preserve">Styret har gjennomført nedskrivningsvurdering etter regnskapsloven § 5-3 tredje ledd og NRS(F) Nedskrivning av anleggsmidler pkt. 3 ved to tidspunkter — per 31.12.2024 og per 31.12.2025 — uten indikatorutslag. Underlaget bygger på driftsdata fra gen 1-anlegget, DNV-verifisert designmetodikk, deltakelse i EU Horizon-prosjektene SuRE og Surewave, bekreftet norsk prosjektpipeline og markedsverdivurdering som ligger over balanseført egenkapital. Styret opprettholder balanseført verdi.</w:t>
      </w:r>
    </w:p>
    <w:p>
      <w:pPr>
        <w:pStyle w:val="BodyText"/>
      </w:pPr>
      <w:r>
        <w:t xml:space="preserve">Note om immaterielle eiendeler under utvikling er innarbeidet i årsregnskapets noter og beskriver nedskrivningsvurderingen slik at regnskapsbrukeren får nødvendig informasjon om usikkerheten. Styret har ingen innvendinger mot at revisor henviser til denne usikkerheten i konklusjonen.</w:t>
      </w:r>
    </w:p>
    <w:p>
      <w:pPr>
        <w:pStyle w:val="BodyText"/>
      </w:pPr>
      <w:r>
        <w:t xml:space="preserve">Styret tar også til etterretning at revisor av samme grunn ikke kan attestere næringsoppgaven, og at oppgaven likevel anses innlevert.</w:t>
      </w:r>
    </w:p>
    <w:bookmarkEnd w:id="19"/>
    <w:bookmarkStart w:id="20" w:name="forutsetningen-om-fortsatt-drift"/>
    <w:p>
      <w:pPr>
        <w:pStyle w:val="Heading3"/>
      </w:pPr>
      <w:r>
        <w:t xml:space="preserve">1.2 Forutsetningen om fortsatt drift</w:t>
      </w:r>
    </w:p>
    <w:p>
      <w:pPr>
        <w:pStyle w:val="FirstParagraph"/>
      </w:pPr>
      <w:r>
        <w:t xml:space="preserve">Styret legger forutsetningen om fortsatt drift til grunn for årsregnskapet for 2025. Vurderingen er dokumentert i egen styrevurdering oversendt revisor 17.09.2026 og bygger på en 12-måneders likviditetsgjennomgang med basis- og pessimistisk scenario.</w:t>
      </w:r>
    </w:p>
    <w:p>
      <w:pPr>
        <w:pStyle w:val="BodyText"/>
      </w:pPr>
      <w:r>
        <w:t xml:space="preserve">Grunnlaget for forutsetningen er oppsummert slik:</w:t>
      </w:r>
    </w:p>
    <w:p>
      <w:pPr>
        <w:pStyle w:val="Compact"/>
        <w:numPr>
          <w:ilvl w:val="0"/>
          <w:numId w:val="1001"/>
        </w:numPr>
      </w:pPr>
      <w:r>
        <w:t xml:space="preserve">Vedtatte offentlige tilskudd med forventet utbetaling innenfor vurderingsperioden dekker vesentlig del av likviditetsbehovet. Skattefunn-refusjon på 507 tusen kr forventes i oktober 2026. Utbetalingsanmodning til Enova på om lag 1 000 tusen kr er klargjort og sendes umiddelbart etter styrebehandlingen av årsregnskapet.</w:t>
      </w:r>
    </w:p>
    <w:p>
      <w:pPr>
        <w:pStyle w:val="Compact"/>
        <w:numPr>
          <w:ilvl w:val="0"/>
          <w:numId w:val="1001"/>
        </w:numPr>
      </w:pPr>
      <w:r>
        <w:t xml:space="preserve">Kostnadsnivået er i hovedsak kjent gjeldsbetjening etter dokumenterte nedbetalingsplaner med Innovasjon Norge og Sparebank 1 Østfold Akershus. Selskapet har ingen ansatte, ingen løpende lokalleie og minimert driftskostnad.</w:t>
      </w:r>
    </w:p>
    <w:p>
      <w:pPr>
        <w:pStyle w:val="Compact"/>
        <w:numPr>
          <w:ilvl w:val="0"/>
          <w:numId w:val="1001"/>
        </w:numPr>
      </w:pPr>
      <w:r>
        <w:t xml:space="preserve">Egenkapitalen per 31.12.2025 er positiv med 696 tusen kr etter gjennomført prinsippendring.</w:t>
      </w:r>
    </w:p>
    <w:p>
      <w:pPr>
        <w:pStyle w:val="Compact"/>
        <w:numPr>
          <w:ilvl w:val="0"/>
          <w:numId w:val="1001"/>
        </w:numPr>
      </w:pPr>
      <w:r>
        <w:t xml:space="preserve">Supplerende finansieringskilder er tilgjengelig ved kortvarig likviditetsbehov. Selskapets største aksjonær har over tid stilt opp med brofinansiering gjennom trade credit, og har både evne og incentiv til å opprettholde denne støtten i vurderingsperioden.</w:t>
      </w:r>
    </w:p>
    <w:p>
      <w:pPr>
        <w:pStyle w:val="Compact"/>
        <w:numPr>
          <w:ilvl w:val="0"/>
          <w:numId w:val="1001"/>
        </w:numPr>
      </w:pPr>
      <w:r>
        <w:t xml:space="preserve">Finansieringspipelinen utover vurderingsperioden omfatter blant annet tilleggsbudsjett til SuRE (Horizon Europe) under behandling i CINEA, nylig innlevert EIC Transition-søknad og aktivt Skien-prosjekt med forhåndsuttalelse fra Telemark Utviklingsfond, ferdigforhandlet PPA og kommunetillatelse.</w:t>
      </w:r>
    </w:p>
    <w:p>
      <w:pPr>
        <w:pStyle w:val="FirstParagraph"/>
      </w:pPr>
      <w:r>
        <w:t xml:space="preserve">Styret er innforstått med at det foreligger vesentlig usikkerhet knyttet til timing av utbetalinger og at denne usikkerheten skal fremgå av årsregnskapet. Note om fortsatt drift er innarbeidet i årsregnskapets noter i tråd med dialog med revisor, slik at revisor kan presisere forholdet i revisjonsberetningen med umodifisert konklusjon, jf. ISA 570 pkt. 22.</w:t>
      </w:r>
    </w:p>
    <w:p>
      <w:pPr>
        <w:pStyle w:val="BodyText"/>
      </w:pPr>
      <w:r>
        <w:t xml:space="preserve">Styret har ingen innvendinger mot at revisor presiserer fortsatt drift-usikkerheten under andre forhold i revisjonsberetningen.</w:t>
      </w:r>
    </w:p>
    <w:bookmarkEnd w:id="20"/>
    <w:bookmarkStart w:id="21" w:name="for-sent-avlagt-årsregnskap"/>
    <w:p>
      <w:pPr>
        <w:pStyle w:val="Heading3"/>
      </w:pPr>
      <w:r>
        <w:t xml:space="preserve">1.3 For sent avlagt årsregnskap</w:t>
      </w:r>
    </w:p>
    <w:p>
      <w:pPr>
        <w:pStyle w:val="FirstParagraph"/>
      </w:pPr>
      <w:r>
        <w:t xml:space="preserve">Styret tar revisors presisering vedrørende for sent avlagt årsregnskap til etterretning. Forsinkelsen skyldes begrenset administrativ kapasitet i selskapet kombinert med bytte av regnskapsfører i perioden, samt at prinsippendring for aktivering av utviklingskostnader har krevd ekstra arbeid med revisorpakke og nedskrivningstest. Styret har gjennom hele perioden holdt tett dialog med revisor om fremdrift.</w:t>
      </w:r>
    </w:p>
    <w:p>
      <w:pPr>
        <w:pStyle w:val="BodyText"/>
      </w:pPr>
      <w:r>
        <w:t xml:space="preserve">Styret har truffet tiltak for å redusere risikoen for tilsvarende forsinkelse ved kommende årsoppgjør, herunder tidligere oppstart av regnskapsavstemming og klargjøring av underlag for prinsippendring og nedskrivningsvurdering i løpet av fjerde kvartal.</w:t>
      </w:r>
    </w:p>
    <w:bookmarkEnd w:id="21"/>
    <w:bookmarkEnd w:id="22"/>
    <w:bookmarkStart w:id="23" w:name="vedtak"/>
    <w:p>
      <w:pPr>
        <w:pStyle w:val="Heading2"/>
      </w:pPr>
      <w:r>
        <w:t xml:space="preserve">Vedtak</w:t>
      </w:r>
    </w:p>
    <w:p>
      <w:pPr>
        <w:pStyle w:val="FirstParagraph"/>
      </w:pPr>
      <w:r>
        <w:t xml:space="preserve">Styret fatter følgende vedtak:</w:t>
      </w:r>
    </w:p>
    <w:p>
      <w:pPr>
        <w:pStyle w:val="Compact"/>
        <w:numPr>
          <w:ilvl w:val="0"/>
          <w:numId w:val="1002"/>
        </w:numPr>
      </w:pPr>
      <w:r>
        <w:t xml:space="preserve">Nummerert brev nr. 2/2025 fra Revisjonsselskapet Varder AS datert 30.09.2026 er behandlet.</w:t>
      </w:r>
    </w:p>
    <w:p>
      <w:pPr>
        <w:pStyle w:val="Compact"/>
        <w:numPr>
          <w:ilvl w:val="0"/>
          <w:numId w:val="1002"/>
        </w:numPr>
      </w:pPr>
      <w:r>
        <w:t xml:space="preserve">Styret tar til etterretning at revisor tar forbehold om verdsettelsen av immaterielle eiendeler, og at samme forhold medfører at næringsoppgaven ikke attesteres.</w:t>
      </w:r>
    </w:p>
    <w:p>
      <w:pPr>
        <w:pStyle w:val="Compact"/>
        <w:numPr>
          <w:ilvl w:val="0"/>
          <w:numId w:val="1002"/>
        </w:numPr>
      </w:pPr>
      <w:r>
        <w:t xml:space="preserve">Styret legger forutsetningen om fortsatt drift til grunn for årsregnskapet for 2025 og godkjenner at forholdet beskrives i egen note og presiseres av revisor under andre forhold i revisjonsberetningen med umodifisert konklusjon.</w:t>
      </w:r>
    </w:p>
    <w:p>
      <w:pPr>
        <w:pStyle w:val="Compact"/>
        <w:numPr>
          <w:ilvl w:val="0"/>
          <w:numId w:val="1002"/>
        </w:numPr>
      </w:pPr>
      <w:r>
        <w:t xml:space="preserve">Styret tar revisors presisering om for sent avlagt årsregnskap til etterretning.</w:t>
      </w:r>
    </w:p>
    <w:p>
      <w:pPr>
        <w:pStyle w:val="Compact"/>
        <w:numPr>
          <w:ilvl w:val="0"/>
          <w:numId w:val="1002"/>
        </w:numPr>
      </w:pPr>
      <w:r>
        <w:t xml:space="preserve">Protokollen oversendes Revisjonsselskapet Varder AS i henhold til anmodningen i brevets avslutning.</w:t>
      </w:r>
    </w:p>
    <w:bookmarkEnd w:id="23"/>
    <w:bookmarkStart w:id="24" w:name="avslutning"/>
    <w:p>
      <w:pPr>
        <w:pStyle w:val="Heading2"/>
      </w:pPr>
      <w:r>
        <w:t xml:space="preserve">Avslutning</w:t>
      </w:r>
    </w:p>
    <w:p>
      <w:pPr>
        <w:pStyle w:val="FirstParagraph"/>
      </w:pPr>
      <w:r>
        <w:t xml:space="preserve">Styret takker revisor for en konstruktiv dialog gjennom årsoppgjørsprosessen og ser frem til videre samarbeid.</w:t>
      </w:r>
    </w:p>
    <w:p>
      <w:pPr>
        <w:pStyle w:val="BodyText"/>
      </w:pPr>
      <w:r>
        <w:t xml:space="preserve">Oslo, 9. oktober 2026</w:t>
      </w:r>
    </w:p>
    <w:p>
      <w:pPr>
        <w:pStyle w:val="BodyText"/>
      </w:pP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 Lindberg</w:t>
      </w:r>
      <w:r>
        <w:t xml:space="preserve"> </w:t>
      </w:r>
      <w:r>
        <w:t xml:space="preserve">Styreleder</w:t>
      </w:r>
    </w:p>
    <w:p>
      <w:pPr>
        <w:pStyle w:val="BodyText"/>
      </w:pP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Eirik Larsen</w:t>
      </w:r>
      <w:r>
        <w:t xml:space="preserve"> </w:t>
      </w:r>
      <w:r>
        <w:t xml:space="preserve">Styremedlem</w:t>
      </w:r>
    </w:p>
    <w:bookmarkEnd w:id="24"/>
    <w:bookmarkEnd w:id="25"/>
    <w:sectPr>
      <w:headerReference r:id="rId6" w:type="default"/>
      <w:headerReference r:id="rId7" w:type="first"/>
      <w:footerReference r:id="rId8" w:type="default"/>
      <w:footerReference r:id="rId9" w:type="first"/>
      <w:pgSz w:h="15840" w:orient="portrait" w:w="12240"/>
      <w:pgMar w:bottom="1440" w:footer="0" w:header="0" w:left="1440" w:right="1440" w:top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rPr/>
    </w:pPr>
    <w:r w:rsidDel="00000000" w:rsidR="00000000" w:rsidRPr="00000000">
      <w:rPr/>
      <w:pict>
        <v:shape id="WordPictureWatermark1" style="position:absolute;width:613.08pt;height:867.211548387096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jc w:val="center"/>
      <w:rPr/>
    </w:pPr>
    <w:r w:rsidDel="00000000" w:rsidR="00000000" w:rsidRPr="00000000">
      <w:rPr/>
      <w:pict>
        <v:shape id="WordPictureWatermark2" style="position:absolute;width:613.08pt;height:867.211548387096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ageBreakBefore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ageBreakBefore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jc w:val="center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2981325</wp:posOffset>
          </wp:positionH>
          <wp:positionV relativeFrom="page">
            <wp:posOffset>691325</wp:posOffset>
          </wp:positionV>
          <wp:extent cx="1810512" cy="16538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0512" cy="1653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ageBreakBefore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ageBreakBefore w:val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jc w:val="center"/>
    </w:pPr>
    <w:rPr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jc w:val="center"/>
    </w:pPr>
    <w:rPr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</w:tblPr>
  </w:style>
  <w:style w:styleId="Table2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Id="rId6" Target="header2.xml" Type="http://schemas.openxmlformats.org/officeDocument/2006/relationships/header" /><Relationship Id="rId7" Target="header1.xml" Type="http://schemas.openxmlformats.org/officeDocument/2006/relationships/header" /><Relationship Id="rId8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2026-10-10T08:45:01Z</dcterms:created>
  <dcterms:modified xsi:type="dcterms:W3CDTF">2026-10-10T08:45:01Z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o">
    <vt:lpwstr>2026-10-09</vt:lpwstr>
  </property>
  <property fmtid="{D5CDD505-2E9C-101B-9397-08002B2CF9AE}" pid="3" name="form">
    <vt:lpwstr>Styreprotokoll fra ekstraordinær styrebehandling, oversendes revisor i henhold til brevets avslutning</vt:lpwstr>
  </property>
  <property fmtid="{D5CDD505-2E9C-101B-9397-08002B2CF9AE}" pid="4" name="internal_title">
    <vt:lpwstr>Styreprotokoll — Behandling av revisors nummererte brev nr. 2/2025</vt:lpwstr>
  </property>
  <property fmtid="{D5CDD505-2E9C-101B-9397-08002B2CF9AE}" pid="5" name="mottaker">
    <vt:lpwstr>Revisjonsselskapet Varder AS</vt:lpwstr>
  </property>
  <property fmtid="{D5CDD505-2E9C-101B-9397-08002B2CF9AE}" pid="6" name="orgnr">
    <vt:lpwstr>922 633 924</vt:lpwstr>
  </property>
  <property fmtid="{D5CDD505-2E9C-101B-9397-08002B2CF9AE}" pid="7" name="selskap">
    <vt:lpwstr>Sunlit Sea AS</vt:lpwstr>
  </property>
</Properties>
</file>