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Løypemelding fra Sunlit Sea følger.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rtl w:val="0"/>
        </w:rPr>
        <w:t xml:space="preserve">Emisjonen med mål om å hente 230 MNOK har blitt jobbet med siden desember 2021. Sunlit Sea og EY utarbeidet sammen i januar/februar et </w:t>
      </w:r>
      <w:r w:rsidDel="00000000" w:rsidR="00000000" w:rsidRPr="00000000">
        <w:rPr>
          <w:i w:val="1"/>
          <w:iCs w:val="1"/>
          <w:rtl w:val="0"/>
        </w:rPr>
        <w:t xml:space="preserve">information memorandum</w:t>
      </w:r>
      <w:r w:rsidDel="00000000" w:rsidR="00000000" w:rsidRPr="00000000">
        <w:rPr>
          <w:rtl w:val="0"/>
        </w:rPr>
        <w:t xml:space="preserve"> og laget en forretningsmodell med estimater fram mot 2028. Sunlit Sea og Harris har utarbeidet et omfattende datarom med all relevant info en investor trenger for en solid </w:t>
      </w:r>
      <w:r w:rsidDel="00000000" w:rsidR="00000000" w:rsidRPr="00000000">
        <w:rPr>
          <w:i w:val="1"/>
          <w:iCs w:val="1"/>
          <w:rtl w:val="0"/>
        </w:rPr>
        <w:t xml:space="preserve">due diligence</w:t>
      </w:r>
      <w:r w:rsidDel="00000000" w:rsidR="00000000" w:rsidRPr="00000000">
        <w:rPr>
          <w:rtl w:val="0"/>
        </w:rPr>
        <w:t xml:space="preserve">-prosess. </w:t>
      </w:r>
      <w:r w:rsidDel="00000000" w:rsidR="00000000" w:rsidRPr="00000000">
        <w:rPr>
          <w:rtl w:val="0"/>
        </w:rPr>
        <w:t xml:space="preserve">EY har henvendt seg til et større antall industrielle og profesjonelle investorer, og Sunlit Sea har hatt ett eller flere møter med flere ulike investorer, hvorav de fleste har signert NDA for å få tilgang til mer info. Flere interessenter har som forutsetning at en annen investor </w:t>
      </w:r>
      <w:r w:rsidDel="00000000" w:rsidR="00000000" w:rsidRPr="00000000">
        <w:rPr>
          <w:rtl w:val="0"/>
        </w:rPr>
        <w:t xml:space="preserve">går inn som lead med et større beløp. Vi har dialog med et par slike potensielle lead-investorer. Vi har forventning om en avklaring i løpet av noen uker.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viktig årsak til at vi ikke er kommet lenger med emisjonen er mangelen på en prosjekt-pipeline. Vi jobber kontinuerlig med å skaffe prosjekter. Mulige prosjekter (</w:t>
      </w:r>
      <w:r w:rsidDel="00000000" w:rsidR="00000000" w:rsidRPr="00000000">
        <w:rPr>
          <w:i w:val="1"/>
          <w:iCs w:val="1"/>
          <w:rtl w:val="0"/>
        </w:rPr>
        <w:t xml:space="preserve">leads)</w:t>
      </w:r>
      <w:r w:rsidDel="00000000" w:rsidR="00000000" w:rsidRPr="00000000">
        <w:rPr>
          <w:rtl w:val="0"/>
        </w:rPr>
        <w:t xml:space="preserve"> evalueres med hensyn på flere kriterier: lokalitet, kundens behov, størrelse, kundens ønskede leveringsdato, forhold ved installasjonssite, kundens motivasjon og betalingsvilje, om kunden ønsker en ferdig installasjon eller en teknologileveranse, med mer. Dette oversettes i vårt salgssystem til en sannsynlighet for gjennomføring av et prosjekt med en gitt størrelse til en gitt dato, og gir en konservativt estimat på </w:t>
      </w:r>
      <w:r w:rsidDel="00000000" w:rsidR="00000000" w:rsidRPr="00000000">
        <w:rPr>
          <w:i w:val="1"/>
          <w:iCs w:val="1"/>
          <w:rtl w:val="0"/>
        </w:rPr>
        <w:t xml:space="preserve">ventet </w:t>
      </w:r>
      <w:r w:rsidDel="00000000" w:rsidR="00000000" w:rsidRPr="00000000">
        <w:rPr>
          <w:rtl w:val="0"/>
        </w:rPr>
        <w:t xml:space="preserve">prosjektportefølje. P.t er denne ventede prosjektporteføljen på 3.9 MWp, og består av totalt 20 mulige prosjekter hvorav intensjonsavtale er tegnet med 9 aktører. Fokus framover er å konvertere leads med høy sannsynlighet til signerte kontrakter.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tillegg til å ivareta salg og markedsføring gjennom interne prosesser vurderer vi også å engasjere salgsagenter i regioner. Så langt har agenter for følgende regioner blitt vurdert men ikke konkludert: sørlige Afrika, balkan, Europa, USA, Pakistan, Norge. Vi kommer ikke til å gi eksklusivitet til noen agenter. Alle henvendelser på vegne av Sunlit Sea til en potensiell kunde må forhåndsgodkjennes av oss. Ut over agenter bruker vi også aktivt vårt partnernettverk for å lete etter prosjekter. Dette inkluderer både enkeltpersoner, og firma som Fred Olsen Renewables, Scatec, Multiconsult, Norconsult, COWI, DNV, Eidos, Statkraft.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Våre viktigste leverandører er:</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MetSolar (Litauen): solcellepaneler, tilpasset våre flottører.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Whiston Industries (Storbritannia): formpressing av aluminium til halvdeler av flottører.</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Speira (DE) / Climb (ZN) / YSA (ZN): aluminum sheets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BTM Scandinavia (Sverige): utstyr for clinching (sammenføying av halvdeler av flottører)</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Hydal (Norge): anodisering av aluminum</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Strukturplast (Norge): koblingspunkter</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Kiwa (Italia): sertifisering</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Harris (Norge): juridiske tjenester</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Ernst &amp; Young (Norge): finansielle tjenester</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Kodeworks (Norge): produktutvikling/elektronikk/databehandling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prosessen med å gå fra prototyping, gjennom pilotering og til kommersialisering jobber vi kontinuerlig med å utfordre leverandører på å dokumentere en plan for prisutvikling etter hvert som volumene øker. Der hvor vi ikke høster tilstrekkelig gehør ser vi etter alternative leverandører. Vi har en god forståelse av hvor prisbildet skal ligge når vi kommer opp i volum, og forventer at leverandører opererer med den samme markedsforståelsen.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Mot kunder har vi lagt til rette for en mer profesjonalisert merkantil prosess. Vi har etablert en prismodell som både er svært konkurransedyktig og gir rom for marginer selv i fasen med begrenset produksjonskapasitet. Se utsnitt: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1.2048192771085"/>
        <w:gridCol w:w="1077.590361445783"/>
        <w:gridCol w:w="1027.4698795180723"/>
        <w:gridCol w:w="826.9879518072288"/>
        <w:gridCol w:w="977.3493975903614"/>
        <w:gridCol w:w="977.3493975903614"/>
        <w:gridCol w:w="977.3493975903614"/>
        <w:gridCol w:w="977.3493975903614"/>
        <w:gridCol w:w="977.3493975903614"/>
        <w:tblGridChange w:id="0">
          <w:tblGrid>
            <w:gridCol w:w="1541.2048192771085"/>
            <w:gridCol w:w="1077.590361445783"/>
            <w:gridCol w:w="1027.4698795180723"/>
            <w:gridCol w:w="826.9879518072288"/>
            <w:gridCol w:w="977.3493975903614"/>
            <w:gridCol w:w="977.3493975903614"/>
            <w:gridCol w:w="977.3493975903614"/>
            <w:gridCol w:w="977.3493975903614"/>
            <w:gridCol w:w="977.3493975903614"/>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25 y</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3% discount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0.12% degrade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b w:val="1"/>
                <w:bCs w:val="1"/>
                <w:sz w:val="20"/>
                <w:szCs w:val="20"/>
                <w:rtl w:val="0"/>
              </w:rPr>
              <w:t xml:space="preserve">Site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i w:val="1"/>
                <w:iCs w:val="1"/>
                <w:sz w:val="16"/>
                <w:szCs w:val="16"/>
                <w:rtl w:val="0"/>
              </w:rPr>
              <w:t xml:space="preserve">Oslo</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i w:val="1"/>
                <w:iCs w:val="1"/>
                <w:sz w:val="16"/>
                <w:szCs w:val="16"/>
                <w:rtl w:val="0"/>
              </w:rPr>
              <w:t xml:space="preserve">Rotterdam</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i w:val="1"/>
                <w:iCs w:val="1"/>
                <w:sz w:val="16"/>
                <w:szCs w:val="16"/>
                <w:rtl w:val="0"/>
              </w:rPr>
              <w:t xml:space="preserve">North Macedonia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i w:val="1"/>
                <w:iCs w:val="1"/>
                <w:sz w:val="16"/>
                <w:szCs w:val="16"/>
                <w:rtl w:val="0"/>
              </w:rPr>
              <w:t xml:space="preserve">Beirut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i w:val="1"/>
                <w:iCs w:val="1"/>
                <w:sz w:val="16"/>
                <w:szCs w:val="16"/>
                <w:rtl w:val="0"/>
              </w:rPr>
              <w:t xml:space="preserve">Abu Dhabi</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r>
          </w:p>
        </w:tc>
        <w:tc>
          <w:tcPr>
            <w:gridSpan w:val="2"/>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b w:val="1"/>
                <w:bCs w:val="1"/>
                <w:sz w:val="20"/>
                <w:szCs w:val="20"/>
                <w:rtl w:val="0"/>
              </w:rPr>
              <w:t xml:space="preserve">Price / kWp</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b w:val="1"/>
                <w:bCs w:val="1"/>
                <w:sz w:val="20"/>
                <w:szCs w:val="20"/>
                <w:rtl w:val="0"/>
              </w:rPr>
              <w:t xml:space="preserve">kWh/y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944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1 050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1 481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1 845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2 031</w:t>
            </w:r>
          </w:p>
        </w:tc>
      </w:tr>
      <w:tr>
        <w:trPr>
          <w:cantSplit w:val="0"/>
          <w:trHeight w:val="525" w:hRule="atLeast"/>
          <w:tblHeader w:val="0"/>
        </w:trPr>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b w:val="1"/>
                <w:bCs w:val="1"/>
                <w:sz w:val="20"/>
                <w:szCs w:val="20"/>
                <w:rtl w:val="0"/>
              </w:rPr>
              <w:t xml:space="preserve">Size (kWp)</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b w:val="1"/>
                <w:bCs w:val="1"/>
                <w:sz w:val="20"/>
                <w:szCs w:val="20"/>
                <w:rtl w:val="0"/>
              </w:rPr>
              <w:t xml:space="preserve">Product</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b w:val="1"/>
                <w:bCs w:val="1"/>
                <w:sz w:val="20"/>
                <w:szCs w:val="20"/>
                <w:rtl w:val="0"/>
              </w:rPr>
              <w:t xml:space="preserve">Installed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b w:val="1"/>
                <w:bCs w:val="1"/>
                <w:sz w:val="20"/>
                <w:szCs w:val="20"/>
                <w:rtl w:val="0"/>
              </w:rPr>
              <w:t xml:space="preserve">Opex/y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b w:val="1"/>
                <w:bCs w:val="1"/>
                <w:sz w:val="20"/>
                <w:szCs w:val="20"/>
                <w:rtl w:val="0"/>
              </w:rPr>
              <w:t xml:space="preserve">lcoe 25 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b w:val="1"/>
                <w:bCs w:val="1"/>
                <w:sz w:val="20"/>
                <w:szCs w:val="20"/>
                <w:rtl w:val="0"/>
              </w:rPr>
              <w:t xml:space="preserve">lcoe 25 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b w:val="1"/>
                <w:bCs w:val="1"/>
                <w:sz w:val="20"/>
                <w:szCs w:val="20"/>
                <w:rtl w:val="0"/>
              </w:rPr>
              <w:t xml:space="preserve">lcoe 25 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b w:val="1"/>
                <w:bCs w:val="1"/>
                <w:sz w:val="20"/>
                <w:szCs w:val="20"/>
                <w:rtl w:val="0"/>
              </w:rPr>
              <w:t xml:space="preserve">lcoe 25 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b w:val="1"/>
                <w:bCs w:val="1"/>
                <w:sz w:val="20"/>
                <w:szCs w:val="20"/>
                <w:rtl w:val="0"/>
              </w:rPr>
              <w:t xml:space="preserve">lcoe 25 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b w:val="1"/>
                <w:bCs w:val="1"/>
                <w:sz w:val="20"/>
                <w:szCs w:val="20"/>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0"/>
                <w:szCs w:val="20"/>
              </w:rPr>
            </w:pPr>
            <w:r w:rsidDel="00000000" w:rsidR="00000000" w:rsidRPr="00000000">
              <w:rPr>
                <w:sz w:val="20"/>
                <w:szCs w:val="20"/>
                <w:rtl w:val="0"/>
              </w:rPr>
              <w:t xml:space="preserve">15 000 kr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sz w:val="20"/>
                <w:szCs w:val="20"/>
                <w:rtl w:val="0"/>
              </w:rPr>
              <w:t xml:space="preserve">17 096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jc w:val="right"/>
              <w:rPr>
                <w:sz w:val="20"/>
                <w:szCs w:val="20"/>
              </w:rPr>
            </w:pPr>
            <w:r w:rsidDel="00000000" w:rsidR="00000000" w:rsidRPr="00000000">
              <w:rPr>
                <w:sz w:val="20"/>
                <w:szCs w:val="20"/>
                <w:rtl w:val="0"/>
              </w:rPr>
              <w:t xml:space="preserve">75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1,11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1,00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0,71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0,57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sz w:val="20"/>
                <w:szCs w:val="20"/>
                <w:rtl w:val="0"/>
              </w:rPr>
              <w:t xml:space="preserve">0,52 kr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14 000 kr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sz w:val="20"/>
                <w:szCs w:val="20"/>
                <w:rtl w:val="0"/>
              </w:rPr>
              <w:t xml:space="preserve">15 701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70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1,02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0,92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sz w:val="20"/>
                <w:szCs w:val="20"/>
                <w:rtl w:val="0"/>
              </w:rPr>
              <w:t xml:space="preserve">0,65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0,52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0,48 kr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b w:val="1"/>
                <w:bCs w:val="1"/>
                <w:sz w:val="20"/>
                <w:szCs w:val="20"/>
                <w:rtl w:val="0"/>
              </w:rPr>
              <w:t xml:space="preserve">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13 000 kr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14 248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65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0,93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sz w:val="20"/>
                <w:szCs w:val="20"/>
                <w:rtl w:val="0"/>
              </w:rPr>
              <w:t xml:space="preserve">0,84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sz w:val="20"/>
                <w:szCs w:val="20"/>
                <w:rtl w:val="0"/>
              </w:rPr>
              <w:t xml:space="preserve">0,59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0,48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sz w:val="20"/>
                <w:szCs w:val="20"/>
                <w:rtl w:val="0"/>
              </w:rPr>
              <w:t xml:space="preserve">0,43 kr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jc w:val="right"/>
              <w:rPr>
                <w:sz w:val="20"/>
                <w:szCs w:val="20"/>
              </w:rPr>
            </w:pPr>
            <w:r w:rsidDel="00000000" w:rsidR="00000000" w:rsidRPr="00000000">
              <w:rPr>
                <w:b w:val="1"/>
                <w:bCs w:val="1"/>
                <w:sz w:val="20"/>
                <w:szCs w:val="20"/>
                <w:rtl w:val="0"/>
              </w:rPr>
              <w:t xml:space="preserve">160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12 000 kr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jc w:val="right"/>
              <w:rPr>
                <w:sz w:val="20"/>
                <w:szCs w:val="20"/>
              </w:rPr>
            </w:pPr>
            <w:r w:rsidDel="00000000" w:rsidR="00000000" w:rsidRPr="00000000">
              <w:rPr>
                <w:sz w:val="20"/>
                <w:szCs w:val="20"/>
                <w:rtl w:val="0"/>
              </w:rPr>
              <w:t xml:space="preserve">12 907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60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right"/>
              <w:rPr>
                <w:sz w:val="20"/>
                <w:szCs w:val="20"/>
              </w:rPr>
            </w:pPr>
            <w:r w:rsidDel="00000000" w:rsidR="00000000" w:rsidRPr="00000000">
              <w:rPr>
                <w:sz w:val="20"/>
                <w:szCs w:val="20"/>
                <w:rtl w:val="0"/>
              </w:rPr>
              <w:t xml:space="preserve">0,84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right"/>
              <w:rPr>
                <w:sz w:val="20"/>
                <w:szCs w:val="20"/>
              </w:rPr>
            </w:pPr>
            <w:r w:rsidDel="00000000" w:rsidR="00000000" w:rsidRPr="00000000">
              <w:rPr>
                <w:sz w:val="20"/>
                <w:szCs w:val="20"/>
                <w:rtl w:val="0"/>
              </w:rPr>
              <w:t xml:space="preserve">0,76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right"/>
              <w:rPr>
                <w:sz w:val="20"/>
                <w:szCs w:val="20"/>
              </w:rPr>
            </w:pPr>
            <w:r w:rsidDel="00000000" w:rsidR="00000000" w:rsidRPr="00000000">
              <w:rPr>
                <w:sz w:val="20"/>
                <w:szCs w:val="20"/>
                <w:rtl w:val="0"/>
              </w:rPr>
              <w:t xml:space="preserve">0,54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0,43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0,39 kr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b w:val="1"/>
                <w:bCs w:val="1"/>
                <w:sz w:val="20"/>
                <w:szCs w:val="20"/>
                <w:rtl w:val="0"/>
              </w:rPr>
              <w:t xml:space="preserve">1 100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11 000 kr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11 658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55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0,76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0,69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0,49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0,39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20"/>
                <w:szCs w:val="20"/>
                <w:rtl w:val="0"/>
              </w:rPr>
              <w:t xml:space="preserve">0,35 kr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b w:val="1"/>
                <w:bCs w:val="1"/>
                <w:sz w:val="20"/>
                <w:szCs w:val="20"/>
                <w:rtl w:val="0"/>
              </w:rPr>
              <w:t xml:space="preserve">12 000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sz w:val="20"/>
                <w:szCs w:val="20"/>
                <w:rtl w:val="0"/>
              </w:rPr>
              <w:t xml:space="preserve">10 000 kr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10 490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50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0,69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0,62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0,44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0,35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0,32 kr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b w:val="1"/>
                <w:bCs w:val="1"/>
                <w:sz w:val="20"/>
                <w:szCs w:val="20"/>
                <w:rtl w:val="0"/>
              </w:rPr>
              <w:t xml:space="preserve">220 000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9 000 kr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sz w:val="20"/>
                <w:szCs w:val="20"/>
                <w:rtl w:val="0"/>
              </w:rPr>
              <w:t xml:space="preserve">9 374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45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0,61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0,55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0,39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20"/>
                <w:szCs w:val="20"/>
                <w:rtl w:val="0"/>
              </w:rPr>
              <w:t xml:space="preserve">0,31 kr</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0,29 kr</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Som et eksempel vil en typisk dagligvarehandel i Sør-Norge med et nominelt energibehov tilsvarende 50 kWp installert effekt kunne kjøpe et anlegg som dekker dette ferdig installert for 12907 kr / kWp * 50 kWp = 600 000 kr, og oppnå en effektiv strømpris (LCOE) på 84 øre / kWh. Med 50% støtte fra Enova vil en sluttkunde kunne komme unna med en LCOE på 48 øre / kWh. Større anlegg nærmere ekvator kan oppnå svært konkurransedyktig LCOE.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Sunlit Sea har til enhver tid flere søknadsaktiviteter pågående. Inntil nylig ventet vi svar på to søknader vi hadde inne på EUs Horizon-søknadsordning med tema “sustainable, secure, and competitive energy supply”. Den ene nådde ikke helt opp; men søknaden vi gjorde sammen med blant andre Sintef resulterte i et tilslag. Sunlit Seas økonomiske andel av prosjektet utgjør 5.000.000 NOK, fordelt over en prosjektperiode fra desember 2022 og 3 år framover. Vi skal se på anvendelse av bølgebrytere for å utvide antall mulige installasjonslokasjoner og redusere effekttapet over elektriske strenger på bølgete vann. Med dette prosjektet har Sunlit Sea hentet totalt 54.7 MNOK, hvorav 37 er tilskudd og 17.8 er aksjesalg og ansvarlig lån. Graden av “soft funding” er med andre ord på hele 68% så langt - eller sagt på en annen måte: for hver investerte krone har vi fått 2.08 kroner i støtte.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Produktutviklingen </w:t>
      </w:r>
      <w:r w:rsidDel="00000000" w:rsidR="00000000" w:rsidRPr="00000000">
        <w:rPr>
          <w:rtl w:val="0"/>
        </w:rPr>
        <w:t xml:space="preserve">er i hovedsak ferdig; det vil si ferdig nok til å fokusere på kommersielle salg. Vi kommer til å fortsette produktutviklingen i mindre skala og saktere endringer. Mesteparten av arbeidskraften i firmaet vil benyttes til produksjon og produksjonsoptimalisering. Produktutvikling som gjenstår og er verdt å nevne er:</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Øke effekt per panel med bruk av høyeffektive solcellepaneler</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Minke aluminiumsbruk ved å redusere tykkelsen på aluminium og optimalisere flottørstruktur.</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Lavere kostnad per kilowattpeak ved å øke størrelsen på flottøren.</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Optimalisere koblingspunktene mellom flottørene</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Forhindring av marin begroing.</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Effektiv avinstallering.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Produksjonslinjen </w:t>
      </w:r>
      <w:r w:rsidDel="00000000" w:rsidR="00000000" w:rsidRPr="00000000">
        <w:rPr>
          <w:rtl w:val="0"/>
        </w:rPr>
        <w:t xml:space="preserve">er fremdeles i </w:t>
      </w:r>
      <w:r w:rsidDel="00000000" w:rsidR="00000000" w:rsidRPr="00000000">
        <w:rPr>
          <w:i w:val="1"/>
          <w:iCs w:val="1"/>
          <w:rtl w:val="0"/>
        </w:rPr>
        <w:t xml:space="preserve">manuell</w:t>
      </w:r>
      <w:r w:rsidDel="00000000" w:rsidR="00000000" w:rsidRPr="00000000">
        <w:rPr>
          <w:rtl w:val="0"/>
        </w:rPr>
        <w:t xml:space="preserve"> tilstand. Vi fikk en del-leveranse på den semiautomatiserte produksjonslinjen fra Andron Handling (UK) før Andron Handling gikk konkurs. Vi får fullført leveransen fra Androns underleverandører, men dette har forsinket prosessen noe. I parallell med produksjon av flytende solkraftverk er fremdeles planen å videreutvikle den semiautomatiske linjen videre til en fullautomatisert linje, men dette betinger investeringer.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Etter den fullautomatiserte linjen bygges første fabrikk. Vi har nå gjort en befaring på en eiendom/tomt på Fredrikstad Innovasjonspark. Denne kan utvikles priseffektivt til en fullskala fabrikk. Lokasjonen er like ved Borg Havn som er svært gunstig for logistikken, som kommer til å være en viktig del av virksomheten når vi kommer opp i volum. Fredrikstad har flere miljøer som har interesser i den pågående emisjonen. Sist men ikke minst er Fredrikstad både velegnet for større anlegg med flytende solkraft og har god bruk for kraften med all sin industri. Vi er i pågående forhandlinger med Fredrikstad Innovasjonspark.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Verifisering og sertifisering er viktig for våre kunder. Som nevnt tidligere er vi allerede verifisert i henhold til DNVs </w:t>
      </w:r>
      <w:r w:rsidDel="00000000" w:rsidR="00000000" w:rsidRPr="00000000">
        <w:rPr>
          <w:i w:val="1"/>
          <w:iCs w:val="1"/>
          <w:rtl w:val="0"/>
        </w:rPr>
        <w:t xml:space="preserve">Design, development and operation of floating solar photovoltaic systems</w:t>
      </w:r>
      <w:r w:rsidDel="00000000" w:rsidR="00000000" w:rsidRPr="00000000">
        <w:rPr>
          <w:rtl w:val="0"/>
        </w:rPr>
        <w:t xml:space="preserve">. DNV videreutvikler nå denne standarden med ytterligere 2 </w:t>
      </w:r>
      <w:r w:rsidDel="00000000" w:rsidR="00000000" w:rsidRPr="00000000">
        <w:rPr>
          <w:i w:val="1"/>
          <w:iCs w:val="1"/>
          <w:rtl w:val="0"/>
        </w:rPr>
        <w:t xml:space="preserve">JIP</w:t>
      </w:r>
      <w:r w:rsidDel="00000000" w:rsidR="00000000" w:rsidRPr="00000000">
        <w:rPr>
          <w:rtl w:val="0"/>
        </w:rPr>
        <w:t xml:space="preserve"> (Joint Industry Project) som skal spesifisere nærmere krav til flottører og krav til hengsler. Vi er invitert til å delta i disse og skal ta stilling til hvorvidt vi har kapasitet. Selv om vi er verifisert av DNV kan vi foreløpig ikke angi nøyaktig hvor mye vind og bølger vi tåler. Vi har gjort bølgetanktesting hos Stadt Towing Tank, og basert på disse dataene skal vi utføre </w:t>
      </w:r>
      <w:r w:rsidDel="00000000" w:rsidR="00000000" w:rsidRPr="00000000">
        <w:rPr>
          <w:i w:val="1"/>
          <w:iCs w:val="1"/>
          <w:rtl w:val="0"/>
        </w:rPr>
        <w:t xml:space="preserve">finite element</w:t>
      </w:r>
      <w:r w:rsidDel="00000000" w:rsidR="00000000" w:rsidRPr="00000000">
        <w:rPr>
          <w:rtl w:val="0"/>
        </w:rPr>
        <w:t xml:space="preserve"> simuleringer på bølger og vind for å finne ut hvilken totalbelastning en installasjon som helhet tåler, og ikke minst hvilke laster vårt system vil påføre forankringssystemet.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Vi jobber også med sertifisering i henhold til IEC-standarder for </w:t>
      </w:r>
      <w:r w:rsidDel="00000000" w:rsidR="00000000" w:rsidRPr="00000000">
        <w:rPr>
          <w:i w:val="1"/>
          <w:iCs w:val="1"/>
          <w:rtl w:val="0"/>
        </w:rPr>
        <w:t xml:space="preserve">Solar Panel Testing</w:t>
      </w:r>
      <w:r w:rsidDel="00000000" w:rsidR="00000000" w:rsidRPr="00000000">
        <w:rPr>
          <w:rtl w:val="0"/>
        </w:rPr>
        <w:t xml:space="preserve">, </w:t>
      </w:r>
      <w:r w:rsidDel="00000000" w:rsidR="00000000" w:rsidRPr="00000000">
        <w:rPr>
          <w:i w:val="1"/>
          <w:iCs w:val="1"/>
          <w:rtl w:val="0"/>
        </w:rPr>
        <w:t xml:space="preserve">Photovoltaic Module Safety</w:t>
      </w:r>
      <w:r w:rsidDel="00000000" w:rsidR="00000000" w:rsidRPr="00000000">
        <w:rPr>
          <w:rtl w:val="0"/>
        </w:rPr>
        <w:t xml:space="preserve"> og </w:t>
      </w:r>
      <w:r w:rsidDel="00000000" w:rsidR="00000000" w:rsidRPr="00000000">
        <w:rPr>
          <w:i w:val="1"/>
          <w:iCs w:val="1"/>
          <w:rtl w:val="0"/>
        </w:rPr>
        <w:t xml:space="preserve">Fireclass A</w:t>
      </w:r>
      <w:r w:rsidDel="00000000" w:rsidR="00000000" w:rsidRPr="00000000">
        <w:rPr>
          <w:rtl w:val="0"/>
        </w:rPr>
        <w:t xml:space="preserve">. Sertifiseringen er også viktig i forhold til garantiene vi gir, som er 10 år produktgaranti og 25 års produksjonsgaranti. Se vedlagt datablad. Sertifiseringsprosessen er forventet ferdigstilt i løpet av 2022.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Generalforsamling annonsert i forrige løypemelding er noe forsinket, men dato er nå satt til </w:t>
      </w:r>
      <w:r w:rsidDel="00000000" w:rsidR="00000000" w:rsidRPr="00000000">
        <w:rPr>
          <w:b w:val="1"/>
          <w:bCs w:val="1"/>
          <w:rtl w:val="0"/>
        </w:rPr>
        <w:t xml:space="preserve">29. juni 2022 kl 12:00 i Hasleveien 28</w:t>
      </w:r>
      <w:r w:rsidDel="00000000" w:rsidR="00000000" w:rsidRPr="00000000">
        <w:rPr>
          <w:rtl w:val="0"/>
        </w:rPr>
        <w:t xml:space="preserve">. Dette er en unik mulighet til å få se våre produksjonsfasiliteter, så vi anbefaler å ta turen hvis du har mulighet - i tillegg til det formelle vil det også bli en omvisning og en spørsmål-og-svar runde. Se vedlagt invitasjon. Vi ber alle som deltar om å si anmelde sin deltakelse innen 15.06.2022.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