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94F61">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TIẾT KIỆM CỐ ĐỊNH TRẢ LÃI CUỐI KỲ KÊNH VIETTEL MONEY</w:t>
      </w:r>
    </w:p>
    <w:p w14:paraId="474E1762">
      <w:pPr>
        <w:jc w:val="center"/>
        <w:rPr>
          <w:rFonts w:hint="default" w:ascii="Times New Roman" w:hAnsi="Times New Roman" w:cs="Times New Roman"/>
          <w:b/>
          <w:bCs/>
          <w:sz w:val="26"/>
          <w:szCs w:val="26"/>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
        <w:gridCol w:w="2769"/>
        <w:gridCol w:w="10596"/>
      </w:tblGrid>
      <w:tr w14:paraId="4E2C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center"/>
          </w:tcPr>
          <w:p w14:paraId="3163D0D5">
            <w:pPr>
              <w:widowControl w:val="0"/>
              <w:spacing w:line="480" w:lineRule="auto"/>
              <w:jc w:val="center"/>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Stt</w:t>
            </w:r>
          </w:p>
        </w:tc>
        <w:tc>
          <w:tcPr>
            <w:tcW w:w="2769" w:type="dxa"/>
            <w:vAlign w:val="center"/>
          </w:tcPr>
          <w:p w14:paraId="3D3826BC">
            <w:pPr>
              <w:widowControl w:val="0"/>
              <w:spacing w:line="480" w:lineRule="auto"/>
              <w:jc w:val="center"/>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Tiêu chí</w:t>
            </w:r>
          </w:p>
        </w:tc>
        <w:tc>
          <w:tcPr>
            <w:tcW w:w="10596" w:type="dxa"/>
            <w:vAlign w:val="center"/>
          </w:tcPr>
          <w:p w14:paraId="013D6CD1">
            <w:pPr>
              <w:widowControl w:val="0"/>
              <w:spacing w:line="480" w:lineRule="auto"/>
              <w:jc w:val="center"/>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Nội dung chương trình</w:t>
            </w:r>
          </w:p>
        </w:tc>
      </w:tr>
      <w:tr w14:paraId="2EBF8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03C040A1">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c>
          <w:tcPr>
            <w:tcW w:w="2769" w:type="dxa"/>
          </w:tcPr>
          <w:p w14:paraId="4230C1F2">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Số tiền huy động</w:t>
            </w:r>
          </w:p>
        </w:tc>
        <w:tc>
          <w:tcPr>
            <w:tcW w:w="10596" w:type="dxa"/>
          </w:tcPr>
          <w:p w14:paraId="113FEDFE">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Tối thiểu: 100.000 VND/giao dịch.</w:t>
            </w:r>
          </w:p>
          <w:p w14:paraId="77AD3BEC">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Tối đa: 100.000.000 VND/giao dịch.</w:t>
            </w:r>
          </w:p>
        </w:tc>
      </w:tr>
      <w:tr w14:paraId="5CAE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3B2B8DDA">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2769" w:type="dxa"/>
          </w:tcPr>
          <w:p w14:paraId="7DAA2B72">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Kỳ hạn</w:t>
            </w:r>
          </w:p>
        </w:tc>
        <w:tc>
          <w:tcPr>
            <w:tcW w:w="10596" w:type="dxa"/>
          </w:tcPr>
          <w:p w14:paraId="2AEE9C6F">
            <w:pPr>
              <w:widowControl w:val="0"/>
              <w:numPr>
                <w:ilvl w:val="0"/>
                <w:numId w:val="0"/>
              </w:numPr>
              <w:spacing w:line="360" w:lineRule="auto"/>
              <w:ind w:left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Từ 1 - 3 tuần, 1 - 36 tháng.</w:t>
            </w:r>
          </w:p>
        </w:tc>
      </w:tr>
      <w:tr w14:paraId="4260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3DC166DF">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w:t>
            </w:r>
          </w:p>
        </w:tc>
        <w:tc>
          <w:tcPr>
            <w:tcW w:w="2769" w:type="dxa"/>
          </w:tcPr>
          <w:p w14:paraId="13A84DEF">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Lãi suất</w:t>
            </w:r>
          </w:p>
        </w:tc>
        <w:tc>
          <w:tcPr>
            <w:tcW w:w="10596" w:type="dxa"/>
          </w:tcPr>
          <w:p w14:paraId="173D88B3">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Không ân hạn gốc.</w:t>
            </w:r>
          </w:p>
        </w:tc>
      </w:tr>
      <w:tr w14:paraId="525DB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51A4FC30">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c>
          <w:tcPr>
            <w:tcW w:w="2769" w:type="dxa"/>
          </w:tcPr>
          <w:p w14:paraId="6CBE2E11">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Nhận trả gốc lãi</w:t>
            </w:r>
          </w:p>
        </w:tc>
        <w:tc>
          <w:tcPr>
            <w:tcW w:w="10596" w:type="dxa"/>
          </w:tcPr>
          <w:p w14:paraId="51951FA2">
            <w:pPr>
              <w:widowControl w:val="0"/>
              <w:numPr>
                <w:ilvl w:val="0"/>
                <w:numId w:val="0"/>
              </w:numPr>
              <w:spacing w:line="360" w:lineRule="auto"/>
              <w:jc w:val="left"/>
              <w:rPr>
                <w:rFonts w:hint="default" w:ascii="Times New Roman" w:hAnsi="Times New Roman" w:cs="Times New Roman"/>
                <w:bCs w:val="0"/>
                <w:i w:val="0"/>
                <w:iCs/>
                <w:sz w:val="26"/>
                <w:szCs w:val="26"/>
                <w:vertAlign w:val="baseline"/>
                <w:lang w:val="en-US"/>
              </w:rPr>
            </w:pPr>
            <w:r>
              <w:rPr>
                <w:rFonts w:hint="default" w:ascii="Times New Roman" w:hAnsi="Times New Roman"/>
                <w:bCs w:val="0"/>
                <w:i w:val="0"/>
                <w:iCs/>
                <w:sz w:val="26"/>
                <w:szCs w:val="26"/>
                <w:vertAlign w:val="baseline"/>
                <w:lang w:val="en-US"/>
              </w:rPr>
              <w:t>Tổng công ty dịch vụ số Viettel trích tiền gốc/nhận tiền gốc lãi của KH thông qua ViettelPay để thực hiện gửi/chi trả tiền gửi tiết kiệm cho khách hàng.</w:t>
            </w:r>
          </w:p>
        </w:tc>
      </w:tr>
      <w:tr w14:paraId="08053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7DDB2F8F">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5</w:t>
            </w:r>
          </w:p>
        </w:tc>
        <w:tc>
          <w:tcPr>
            <w:tcW w:w="2769" w:type="dxa"/>
          </w:tcPr>
          <w:p w14:paraId="3A78AF23">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Cơ sở và công thức tính lãi</w:t>
            </w:r>
          </w:p>
        </w:tc>
        <w:tc>
          <w:tcPr>
            <w:tcW w:w="10596" w:type="dxa"/>
          </w:tcPr>
          <w:p w14:paraId="449EA06E">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Tính theo ngày thực tế và rên cơ sở 365 ngày/năm. Số ngày thực tế là số ngày được tính bắt đầu từ ngày KH gửi tiền vào Ngân hàng đến hết ngày liền kề ngày KH được thanh toán gốc.</w:t>
            </w:r>
          </w:p>
          <w:p w14:paraId="47D2C586">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Công thức tính lãi:</w:t>
            </w:r>
          </w:p>
          <w:p w14:paraId="1B46DF5C">
            <w:pPr>
              <w:widowControl w:val="0"/>
              <w:spacing w:line="360" w:lineRule="auto"/>
              <w:jc w:val="left"/>
              <w:rPr>
                <w:rFonts w:hint="default" w:hAnsi="Cambria Math" w:cs="Times New Roman"/>
                <w:b w:val="0"/>
                <w:bCs w:val="0"/>
                <w:i w:val="0"/>
                <w:sz w:val="26"/>
                <w:szCs w:val="26"/>
                <w:vertAlign w:val="baseline"/>
                <w:lang w:val="en-US" w:eastAsia="zh-CN" w:bidi="ar-SA"/>
              </w:rPr>
            </w:pPr>
            <m:oMathPara>
              <m:oMath>
                <m:r>
                  <m:rPr>
                    <m:sty m:val="p"/>
                  </m:rPr>
                  <w:rPr>
                    <w:rFonts w:hint="default" w:ascii="Cambria Math" w:hAnsi="Cambria Math" w:cs="Times New Roman"/>
                    <w:sz w:val="26"/>
                    <w:szCs w:val="26"/>
                    <w:vertAlign w:val="baseline"/>
                    <w:lang w:val="en-US" w:eastAsia="zh-CN" w:bidi="ar-SA"/>
                  </w:rPr>
                  <m:t xml:space="preserve">Ii = Mi </m:t>
                </m:r>
                <m:r>
                  <m:rPr>
                    <m:sty m:val="p"/>
                  </m:rPr>
                  <w:rPr>
                    <w:rFonts w:ascii="Cambria Math" w:hAnsi="Cambria Math" w:cs="Times New Roman"/>
                    <w:sz w:val="26"/>
                    <w:szCs w:val="26"/>
                    <w:vertAlign w:val="baseline"/>
                    <w:lang w:val="en-US" w:bidi="ar-SA"/>
                  </w:rPr>
                  <m:t>×</m:t>
                </m:r>
                <m:r>
                  <m:rPr>
                    <m:sty m:val="p"/>
                  </m:rPr>
                  <w:rPr>
                    <w:rFonts w:hint="default" w:ascii="Cambria Math" w:hAnsi="Cambria Math" w:cs="Times New Roman"/>
                    <w:sz w:val="26"/>
                    <w:szCs w:val="26"/>
                    <w:vertAlign w:val="baseline"/>
                    <w:lang w:val="en-US" w:eastAsia="zh-CN" w:bidi="ar-SA"/>
                  </w:rPr>
                  <m:t xml:space="preserve"> Ri </m:t>
                </m:r>
                <m:r>
                  <m:rPr>
                    <m:sty m:val="p"/>
                  </m:rPr>
                  <w:rPr>
                    <w:rFonts w:ascii="Cambria Math" w:hAnsi="Cambria Math" w:cs="Times New Roman"/>
                    <w:sz w:val="26"/>
                    <w:szCs w:val="26"/>
                    <w:vertAlign w:val="baseline"/>
                    <w:lang w:val="en-US" w:bidi="ar-SA"/>
                  </w:rPr>
                  <m:t>×</m:t>
                </m:r>
                <m:f>
                  <m:fPr>
                    <m:ctrlPr>
                      <w:rPr>
                        <w:rFonts w:ascii="Cambria Math" w:hAnsi="Cambria Math" w:cs="Times New Roman"/>
                        <w:bCs w:val="0"/>
                        <w:i w:val="0"/>
                        <w:iCs/>
                        <w:sz w:val="26"/>
                        <w:szCs w:val="26"/>
                        <w:vertAlign w:val="baseline"/>
                        <w:lang w:val="en-US" w:bidi="ar-SA"/>
                      </w:rPr>
                    </m:ctrlPr>
                  </m:fPr>
                  <m:num>
                    <m:r>
                      <m:rPr>
                        <m:sty m:val="p"/>
                      </m:rPr>
                      <w:rPr>
                        <w:rFonts w:hint="default" w:ascii="Cambria Math" w:hAnsi="Cambria Math" w:cs="Times New Roman"/>
                        <w:sz w:val="26"/>
                        <w:szCs w:val="26"/>
                        <w:vertAlign w:val="baseline"/>
                        <w:lang w:val="en-US" w:bidi="ar-SA"/>
                      </w:rPr>
                      <m:t>Ti</m:t>
                    </m:r>
                    <m:ctrlPr>
                      <w:rPr>
                        <w:rFonts w:ascii="Cambria Math" w:hAnsi="Cambria Math" w:cs="Times New Roman"/>
                        <w:bCs w:val="0"/>
                        <w:i w:val="0"/>
                        <w:iCs/>
                        <w:sz w:val="26"/>
                        <w:szCs w:val="26"/>
                        <w:vertAlign w:val="baseline"/>
                        <w:lang w:val="en-US" w:bidi="ar-SA"/>
                      </w:rPr>
                    </m:ctrlPr>
                  </m:num>
                  <m:den>
                    <m:r>
                      <m:rPr>
                        <m:sty m:val="p"/>
                      </m:rPr>
                      <w:rPr>
                        <w:rFonts w:hint="default" w:ascii="Cambria Math" w:hAnsi="Cambria Math" w:cs="Times New Roman"/>
                        <w:sz w:val="26"/>
                        <w:szCs w:val="26"/>
                        <w:vertAlign w:val="baseline"/>
                        <w:lang w:val="en-US" w:bidi="ar-SA"/>
                      </w:rPr>
                      <m:t>365</m:t>
                    </m:r>
                    <m:ctrlPr>
                      <w:rPr>
                        <w:rFonts w:ascii="Cambria Math" w:hAnsi="Cambria Math" w:cs="Times New Roman"/>
                        <w:bCs w:val="0"/>
                        <w:i w:val="0"/>
                        <w:iCs/>
                        <w:sz w:val="26"/>
                        <w:szCs w:val="26"/>
                        <w:vertAlign w:val="baseline"/>
                        <w:lang w:val="en-US" w:bidi="ar-SA"/>
                      </w:rPr>
                    </m:ctrlPr>
                  </m:den>
                </m:f>
                <m:r>
                  <m:rPr/>
                  <w:rPr>
                    <w:rFonts w:hint="default" w:ascii="Cambria Math" w:hAnsi="Cambria Math" w:cs="Times New Roman"/>
                    <w:sz w:val="26"/>
                    <w:szCs w:val="26"/>
                    <w:vertAlign w:val="baseline"/>
                    <w:lang w:val="en-US" w:eastAsia="zh-CN" w:bidi="ar-SA"/>
                  </w:rPr>
                  <m:t xml:space="preserve"> </m:t>
                </m:r>
              </m:oMath>
            </m:oMathPara>
          </w:p>
          <w:p w14:paraId="3A192DF0">
            <w:pPr>
              <w:widowControl w:val="0"/>
              <w:spacing w:line="360" w:lineRule="auto"/>
              <w:jc w:val="left"/>
              <w:rPr>
                <w:rFonts w:hint="default" w:ascii="Times New Roman" w:hAnsi="Times New Roman" w:cs="Times New Roman"/>
                <w:b w:val="0"/>
                <w:bCs w:val="0"/>
                <w:i w:val="0"/>
                <w:sz w:val="26"/>
                <w:szCs w:val="26"/>
                <w:vertAlign w:val="baseline"/>
                <w:lang w:val="en-US" w:eastAsia="zh-CN" w:bidi="ar-SA"/>
              </w:rPr>
            </w:pPr>
            <w:r>
              <w:rPr>
                <w:rFonts w:hint="default" w:ascii="Times New Roman" w:hAnsi="Times New Roman" w:cs="Times New Roman"/>
                <w:b w:val="0"/>
                <w:bCs w:val="0"/>
                <w:i w:val="0"/>
                <w:sz w:val="26"/>
                <w:szCs w:val="26"/>
                <w:vertAlign w:val="baseline"/>
                <w:lang w:val="en-US" w:eastAsia="zh-CN" w:bidi="ar-SA"/>
              </w:rPr>
              <w:t>Trong đó:</w:t>
            </w:r>
          </w:p>
          <w:p w14:paraId="358124E4">
            <w:pPr>
              <w:widowControl w:val="0"/>
              <w:spacing w:line="360" w:lineRule="auto"/>
              <w:jc w:val="left"/>
              <w:rPr>
                <w:rFonts w:hint="default" w:ascii="Times New Roman" w:hAnsi="Times New Roman" w:cs="Times New Roman"/>
                <w:b w:val="0"/>
                <w:bCs w:val="0"/>
                <w:i w:val="0"/>
                <w:sz w:val="26"/>
                <w:szCs w:val="26"/>
                <w:vertAlign w:val="baseline"/>
                <w:lang w:val="en-US" w:eastAsia="zh-CN" w:bidi="ar-SA"/>
              </w:rPr>
            </w:pPr>
            <w:r>
              <w:rPr>
                <w:rFonts w:hint="default" w:ascii="Times New Roman" w:hAnsi="Times New Roman" w:cs="Times New Roman"/>
                <w:b w:val="0"/>
                <w:bCs w:val="0"/>
                <w:i w:val="0"/>
                <w:sz w:val="26"/>
                <w:szCs w:val="26"/>
                <w:vertAlign w:val="baseline"/>
                <w:lang w:val="en-US" w:eastAsia="zh-CN" w:bidi="ar-SA"/>
              </w:rPr>
              <w:t>Ii: Số lãi KH được hưởng khi tất toán đến hạn tương ứng với số dư tiền gửi Mi;</w:t>
            </w:r>
          </w:p>
          <w:p w14:paraId="1D60C0EB">
            <w:pPr>
              <w:widowControl w:val="0"/>
              <w:spacing w:line="360" w:lineRule="auto"/>
              <w:jc w:val="left"/>
              <w:rPr>
                <w:rFonts w:hint="default" w:ascii="Times New Roman" w:hAnsi="Times New Roman" w:cs="Times New Roman"/>
                <w:b w:val="0"/>
                <w:bCs w:val="0"/>
                <w:i w:val="0"/>
                <w:sz w:val="26"/>
                <w:szCs w:val="26"/>
                <w:vertAlign w:val="baseline"/>
                <w:lang w:val="en-US" w:eastAsia="zh-CN" w:bidi="ar-SA"/>
              </w:rPr>
            </w:pPr>
            <w:r>
              <w:rPr>
                <w:rFonts w:hint="default" w:ascii="Times New Roman" w:hAnsi="Times New Roman" w:cs="Times New Roman"/>
                <w:b w:val="0"/>
                <w:bCs w:val="0"/>
                <w:i w:val="0"/>
                <w:sz w:val="26"/>
                <w:szCs w:val="26"/>
                <w:vertAlign w:val="baseline"/>
                <w:lang w:val="en-US" w:eastAsia="zh-CN" w:bidi="ar-SA"/>
              </w:rPr>
              <w:t>Mi: Số dư tiền gửi trong khoảng thời gian Ti;</w:t>
            </w:r>
          </w:p>
          <w:p w14:paraId="446B274C">
            <w:pPr>
              <w:widowControl w:val="0"/>
              <w:spacing w:line="360" w:lineRule="auto"/>
              <w:jc w:val="left"/>
              <w:rPr>
                <w:rFonts w:hint="default" w:ascii="Times New Roman" w:hAnsi="Times New Roman" w:cs="Times New Roman"/>
                <w:b w:val="0"/>
                <w:bCs w:val="0"/>
                <w:i w:val="0"/>
                <w:sz w:val="26"/>
                <w:szCs w:val="26"/>
                <w:vertAlign w:val="baseline"/>
                <w:lang w:val="en-US" w:eastAsia="zh-CN" w:bidi="ar-SA"/>
              </w:rPr>
            </w:pPr>
            <w:r>
              <w:rPr>
                <w:rFonts w:hint="default" w:ascii="Times New Roman" w:hAnsi="Times New Roman" w:cs="Times New Roman"/>
                <w:b w:val="0"/>
                <w:bCs w:val="0"/>
                <w:i w:val="0"/>
                <w:sz w:val="26"/>
                <w:szCs w:val="26"/>
                <w:vertAlign w:val="baseline"/>
                <w:lang w:val="en-US" w:eastAsia="zh-CN" w:bidi="ar-SA"/>
              </w:rPr>
              <w:t>Ti: Thời gian tồn tại số dư tiền gửi thực tế Mi (ngày);</w:t>
            </w:r>
          </w:p>
          <w:p w14:paraId="6634869B">
            <w:pPr>
              <w:widowControl w:val="0"/>
              <w:spacing w:line="360" w:lineRule="auto"/>
              <w:jc w:val="left"/>
              <w:rPr>
                <w:rFonts w:hint="default" w:ascii="Times New Roman" w:hAnsi="Times New Roman" w:cs="Times New Roman"/>
                <w:b w:val="0"/>
                <w:bCs w:val="0"/>
                <w:i w:val="0"/>
                <w:sz w:val="26"/>
                <w:szCs w:val="26"/>
                <w:vertAlign w:val="baseline"/>
                <w:lang w:val="en-US" w:eastAsia="zh-CN" w:bidi="ar-SA"/>
              </w:rPr>
            </w:pPr>
            <w:r>
              <w:rPr>
                <w:rFonts w:hint="default" w:ascii="Times New Roman" w:hAnsi="Times New Roman" w:cs="Times New Roman"/>
                <w:b w:val="0"/>
                <w:bCs w:val="0"/>
                <w:i w:val="0"/>
                <w:sz w:val="26"/>
                <w:szCs w:val="26"/>
                <w:vertAlign w:val="baseline"/>
                <w:lang w:val="en-US" w:eastAsia="zh-CN" w:bidi="ar-SA"/>
              </w:rPr>
              <w:t>Ri: Lãi suất tiền gửi theo quy định của MBV trong khoảng thời gian Ti (%/năm).</w:t>
            </w:r>
          </w:p>
        </w:tc>
      </w:tr>
      <w:tr w14:paraId="6865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1AB5B8AA">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6</w:t>
            </w:r>
          </w:p>
        </w:tc>
        <w:tc>
          <w:tcPr>
            <w:tcW w:w="2769" w:type="dxa"/>
          </w:tcPr>
          <w:p w14:paraId="7CE57A56">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Thanh toán gốc, lãi</w:t>
            </w:r>
          </w:p>
        </w:tc>
        <w:tc>
          <w:tcPr>
            <w:tcW w:w="10596" w:type="dxa"/>
          </w:tcPr>
          <w:p w14:paraId="2D652804">
            <w:pPr>
              <w:widowControl w:val="0"/>
              <w:numPr>
                <w:ilvl w:val="0"/>
                <w:numId w:val="0"/>
              </w:numPr>
              <w:spacing w:line="360" w:lineRule="auto"/>
              <w:ind w:left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Đúng hạn: KH được thanh toán gốc và lãi vào ngày đáo hạn của Tài khoản tiết kiêm.</w:t>
            </w:r>
          </w:p>
          <w:p w14:paraId="78C5F108">
            <w:pPr>
              <w:widowControl w:val="0"/>
              <w:numPr>
                <w:ilvl w:val="0"/>
                <w:numId w:val="0"/>
              </w:numPr>
              <w:spacing w:line="360" w:lineRule="auto"/>
              <w:ind w:left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Trước hạn: KH không được phép rút một phần gốc/lãi trước hạn. Trường hợp cần rút trước hạn, KH cần tất toán trước hạn toàn bộ tiền gửi và KH được hưởng lĩa suất không kỳ hạn thấp nhất tịa thời điểm KH tất toán trước hạn.</w:t>
            </w:r>
          </w:p>
        </w:tc>
      </w:tr>
      <w:tr w14:paraId="49D2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06D5FC28">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7</w:t>
            </w:r>
          </w:p>
        </w:tc>
        <w:tc>
          <w:tcPr>
            <w:tcW w:w="2769" w:type="dxa"/>
          </w:tcPr>
          <w:p w14:paraId="2B987EA9">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Thủ tục</w:t>
            </w:r>
          </w:p>
        </w:tc>
        <w:tc>
          <w:tcPr>
            <w:tcW w:w="10596" w:type="dxa"/>
          </w:tcPr>
          <w:p w14:paraId="07615F89">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Việc mở và tất toán Tiết kiệm cố định trả lãi cuối kỳ Viettel Money được thực hiện trên ứng dụng Viettel Money của chính khách hàng; KH được phép sử dụng tiền gửi Tiết kiệm cố định trả lãi cuối kỳ Viettel Money</w:t>
            </w:r>
            <w:bookmarkStart w:id="0" w:name="_GoBack"/>
            <w:bookmarkEnd w:id="0"/>
            <w:r>
              <w:rPr>
                <w:rFonts w:hint="default" w:ascii="Times New Roman" w:hAnsi="Times New Roman" w:cs="Times New Roman"/>
                <w:b w:val="0"/>
                <w:bCs w:val="0"/>
                <w:sz w:val="26"/>
                <w:szCs w:val="26"/>
                <w:vertAlign w:val="baseline"/>
                <w:lang w:val="en-US"/>
              </w:rPr>
              <w:t xml:space="preserve"> làm tài sản bảo đảm cho các khoản vay hoặc nghĩa vụ tài chính khác tại MBV hoặc tại các tổ chức tính dụng khác.</w:t>
            </w:r>
          </w:p>
        </w:tc>
      </w:tr>
    </w:tbl>
    <w:p w14:paraId="5BB85639">
      <w:pPr>
        <w:jc w:val="left"/>
        <w:rPr>
          <w:rFonts w:hint="default" w:ascii="Times New Roman" w:hAnsi="Times New Roman" w:cs="Times New Roman"/>
          <w:b/>
          <w:bCs/>
          <w:sz w:val="26"/>
          <w:szCs w:val="26"/>
          <w:lang w:val="en-US"/>
        </w:rPr>
      </w:pPr>
    </w:p>
    <w:p w14:paraId="549AC2A4"/>
    <w:sectPr>
      <w:pgSz w:w="16838" w:h="11906" w:orient="landscape"/>
      <w:pgMar w:top="1800" w:right="1440" w:bottom="180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055A46"/>
    <w:rsid w:val="2E055A46"/>
    <w:rsid w:val="65632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2025-12-11T09:51:00Z</dcterms:created>
  <dc:creator>Duy Ngọc Nguyễn</dc:creator>
  <cp:lastModifiedBy>Duy Ngọc Nguyễn</cp:lastModifiedBy>
  <dcterms:modified xsi:type="dcterms:W3CDTF">2025-12-15T01:27:19Z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AC2D840382F24B60A0A2DCD949DB4FC9_11</vt:lpwstr>
  </property>
</Properties>
</file>