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AA294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CHO VAY TIÊU DÙNG CÓ TÀI SẢN BẢO ĐẢM</w:t>
      </w:r>
    </w:p>
    <w:p w14:paraId="7C694F61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2769"/>
        <w:gridCol w:w="10596"/>
      </w:tblGrid>
      <w:tr w14:paraId="4E2CB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3163D0D5">
            <w:pPr>
              <w:widowControl w:val="0"/>
              <w:spacing w:line="48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  <w:t>Stt</w:t>
            </w:r>
          </w:p>
        </w:tc>
        <w:tc>
          <w:tcPr>
            <w:tcW w:w="2769" w:type="dxa"/>
            <w:vAlign w:val="center"/>
          </w:tcPr>
          <w:p w14:paraId="3D3826BC">
            <w:pPr>
              <w:widowControl w:val="0"/>
              <w:spacing w:line="48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  <w:t>Tiêu chí</w:t>
            </w:r>
          </w:p>
        </w:tc>
        <w:tc>
          <w:tcPr>
            <w:tcW w:w="10596" w:type="dxa"/>
            <w:vAlign w:val="center"/>
          </w:tcPr>
          <w:p w14:paraId="013D6CD1">
            <w:pPr>
              <w:widowControl w:val="0"/>
              <w:spacing w:line="48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  <w:t>Nội dung chương trình</w:t>
            </w:r>
          </w:p>
        </w:tc>
      </w:tr>
      <w:tr w14:paraId="2EBF8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03C040A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2769" w:type="dxa"/>
          </w:tcPr>
          <w:p w14:paraId="4230C1F2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Mục đích vay</w:t>
            </w:r>
          </w:p>
        </w:tc>
        <w:tc>
          <w:tcPr>
            <w:tcW w:w="10596" w:type="dxa"/>
          </w:tcPr>
          <w:p w14:paraId="113FEDFE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Cho vay để mua đồ dùng, trang thiết bị gia đình; chi phí hoạt động dịch vụ văn hóa, thể thao, du lịch, bảo hiểm,; chi phí khám chữa bệnh và mục đích tiêu dùng hợp pháp khác… và không thuộc các mục đích: du học; mua ô tô; phục vụ SXKD; mua, xây dựng, và sửa chữa nhà đất; mua nhà, đất dự án; chứng minh năng lực tài chính; đầu tư, kinh doanh chứng khoán. </w:t>
            </w:r>
          </w:p>
        </w:tc>
      </w:tr>
      <w:tr w14:paraId="5CAE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3B2B8DD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2769" w:type="dxa"/>
          </w:tcPr>
          <w:p w14:paraId="7DAA2B72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Số tiền cho vay</w:t>
            </w:r>
          </w:p>
        </w:tc>
        <w:tc>
          <w:tcPr>
            <w:tcW w:w="10596" w:type="dxa"/>
          </w:tcPr>
          <w:p w14:paraId="0B6A3387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- Trường hợp vay từng lần: </w:t>
            </w:r>
          </w:p>
          <w:p w14:paraId="60B4D9CF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Tối thiểu: 50 triệu đồng/KH và vợ chồng KH.</w:t>
            </w:r>
          </w:p>
          <w:p w14:paraId="4126715D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Tối đa: 5 tỷ đồng/KH và vợ chồng KH.</w:t>
            </w:r>
          </w:p>
          <w:p w14:paraId="6151DE15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Trường hợp nhận nhiều loại TSBĐ thì hạn mức vay bằng Tổng mức cho vay từng loại:</w:t>
            </w:r>
          </w:p>
          <w:p w14:paraId="601E8251">
            <w:pPr>
              <w:widowControl w:val="0"/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TSBĐ là ô tô: tối đa 500tr.</w:t>
            </w:r>
          </w:p>
          <w:p w14:paraId="4EB1DAC2">
            <w:pPr>
              <w:widowControl w:val="0"/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TSBĐ là GTCG/BĐS: tối đa 5 tỷ (tùy giá trị khoản vay và vị trí BĐS).</w:t>
            </w:r>
          </w:p>
          <w:p w14:paraId="5E1C6F00"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Trường hợp cấp hạn mức thấu chi:</w:t>
            </w:r>
          </w:p>
          <w:p w14:paraId="3F62758D">
            <w:pPr>
              <w:widowControl w:val="0"/>
              <w:numPr>
                <w:ilvl w:val="0"/>
                <w:numId w:val="3"/>
              </w:numPr>
              <w:tabs>
                <w:tab w:val="clear" w:pos="420"/>
              </w:tabs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Tối thiểu: 100tr đồng/KH và vợ chồng KH.</w:t>
            </w:r>
          </w:p>
          <w:p w14:paraId="2AEE9C6F">
            <w:pPr>
              <w:widowControl w:val="0"/>
              <w:numPr>
                <w:ilvl w:val="0"/>
                <w:numId w:val="3"/>
              </w:numPr>
              <w:tabs>
                <w:tab w:val="clear" w:pos="420"/>
              </w:tabs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Tối đa: 500tr đồng/KH và vợ chồng KH.</w:t>
            </w:r>
          </w:p>
        </w:tc>
      </w:tr>
      <w:tr w14:paraId="42602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3DC166D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2769" w:type="dxa"/>
          </w:tcPr>
          <w:p w14:paraId="13A84DEF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Ân hạn gốc</w:t>
            </w:r>
          </w:p>
        </w:tc>
        <w:tc>
          <w:tcPr>
            <w:tcW w:w="10596" w:type="dxa"/>
          </w:tcPr>
          <w:p w14:paraId="173D88B3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Không ân hạn gốc.</w:t>
            </w:r>
          </w:p>
        </w:tc>
      </w:tr>
      <w:tr w14:paraId="525D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51A4FC3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2769" w:type="dxa"/>
          </w:tcPr>
          <w:p w14:paraId="6CBE2E11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Nguồn trả nợ</w:t>
            </w:r>
          </w:p>
        </w:tc>
        <w:tc>
          <w:tcPr>
            <w:tcW w:w="10596" w:type="dxa"/>
          </w:tcPr>
          <w:p w14:paraId="400E23D4">
            <w:pPr>
              <w:widowControl w:val="0"/>
              <w:numPr>
                <w:ilvl w:val="0"/>
                <w:numId w:val="4"/>
              </w:numPr>
              <w:spacing w:line="360" w:lineRule="auto"/>
              <w:jc w:val="left"/>
              <w:rPr>
                <w:rFonts w:hint="default" w:ascii="Times New Roman" w:hAnsi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  <w:t>Theo phương pháp Tổng tài sản: Số tiền MBV cho vay đảm bảo công thức:</w:t>
            </w:r>
          </w:p>
          <w:p w14:paraId="56D5ABF5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Times New Roman" w:hAnsi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Cs w:val="0"/>
                        <w:i w:val="0"/>
                        <w:iCs w:val="0"/>
                        <w:sz w:val="26"/>
                        <w:szCs w:val="26"/>
                        <w:vertAlign w:val="baseline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6"/>
                        <w:szCs w:val="26"/>
                        <w:vertAlign w:val="baseline"/>
                        <w:lang w:val="en-US"/>
                      </w:rPr>
                      <m:t>Tổng TÀI SẢN</m:t>
                    </m:r>
                    <m:ctrlPr>
                      <w:rPr>
                        <w:rFonts w:ascii="Cambria Math" w:hAnsi="Cambria Math"/>
                        <w:bCs w:val="0"/>
                        <w:i w:val="0"/>
                        <w:iCs w:val="0"/>
                        <w:sz w:val="26"/>
                        <w:szCs w:val="26"/>
                        <w:vertAlign w:val="baseline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6"/>
                        <w:szCs w:val="26"/>
                        <w:vertAlign w:val="baseline"/>
                        <w:lang w:val="en-US"/>
                      </w:rPr>
                      <m:t>Tổng NỢ</m:t>
                    </m:r>
                    <m:ctrlPr>
                      <w:rPr>
                        <w:rFonts w:ascii="Cambria Math" w:hAnsi="Cambria Math"/>
                        <w:bCs w:val="0"/>
                        <w:i w:val="0"/>
                        <w:iCs w:val="0"/>
                        <w:sz w:val="26"/>
                        <w:szCs w:val="26"/>
                        <w:vertAlign w:val="baseline"/>
                        <w:lang w:val="en-US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6"/>
                    <w:szCs w:val="26"/>
                    <w:vertAlign w:val="baseline"/>
                    <w:lang w:val="en-US"/>
                  </w:rPr>
                  <m:t xml:space="preserve"> </m:t>
                </m:r>
                <m:r>
                  <m:rPr/>
                  <w:rPr>
                    <w:rFonts w:hint="default" w:ascii="Cambria Math" w:hAnsi="Cambria Math" w:cs="Cambria Math"/>
                    <w:sz w:val="26"/>
                    <w:szCs w:val="26"/>
                    <w:vertAlign w:val="baseline"/>
                    <w:lang w:val="en-US"/>
                  </w:rPr>
                  <m:t>≥</m:t>
                </m:r>
                <m:r>
                  <m:rPr/>
                  <w:rPr>
                    <w:rFonts w:hint="default" w:ascii="Cambria Math" w:hAnsi="Cambria Math"/>
                    <w:sz w:val="26"/>
                    <w:szCs w:val="26"/>
                    <w:vertAlign w:val="baseline"/>
                    <w:lang w:val="en-US"/>
                  </w:rPr>
                  <m:t xml:space="preserve"> 200%</m:t>
                </m:r>
              </m:oMath>
            </m:oMathPara>
          </w:p>
          <w:p w14:paraId="51951FA2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  <w:t>2) Căn cứ vào năng lực trả nợ của KH tại TCTD khác (KH có lịch sử trả nợ tốt, không bị chậm trả, quá hạn trong vòng 12 tháng): KH kê khai thu nhập theo mẫu.</w:t>
            </w:r>
          </w:p>
        </w:tc>
      </w:tr>
      <w:tr w14:paraId="08053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7DDB2F8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2769" w:type="dxa"/>
          </w:tcPr>
          <w:p w14:paraId="3A78AF23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Tài sản bảo đảm</w:t>
            </w:r>
          </w:p>
        </w:tc>
        <w:tc>
          <w:tcPr>
            <w:tcW w:w="10596" w:type="dxa"/>
          </w:tcPr>
          <w:p w14:paraId="449EA06E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Bất động sản; Giấy tờ có giá; Ô tô.</w:t>
            </w:r>
          </w:p>
        </w:tc>
      </w:tr>
      <w:tr w14:paraId="6865D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1AB5B8A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2769" w:type="dxa"/>
          </w:tcPr>
          <w:p w14:paraId="7CE57A56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Tỷ lệ cho vay/giá trị TSBĐ (LTV)</w:t>
            </w:r>
          </w:p>
        </w:tc>
        <w:tc>
          <w:tcPr>
            <w:tcW w:w="10596" w:type="dxa"/>
          </w:tcPr>
          <w:p w14:paraId="62856E90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Tiền - Thẻ tiết kiệm/Hợp đồng tiền gửi - Giấy tờ có giá: 90 - 100%.</w:t>
            </w:r>
          </w:p>
          <w:p w14:paraId="1D6ACBC9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Bất động sản: 60 - 80%.</w:t>
            </w:r>
          </w:p>
          <w:p w14:paraId="2D652804"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Ô tô: 30 - 65%.</w:t>
            </w:r>
          </w:p>
        </w:tc>
      </w:tr>
      <w:tr w14:paraId="49D2E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06D5FC2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7</w:t>
            </w:r>
          </w:p>
        </w:tc>
        <w:tc>
          <w:tcPr>
            <w:tcW w:w="2769" w:type="dxa"/>
          </w:tcPr>
          <w:p w14:paraId="2B987EA9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Chủ sở hữu TSBĐ</w:t>
            </w:r>
          </w:p>
        </w:tc>
        <w:tc>
          <w:tcPr>
            <w:tcW w:w="10596" w:type="dxa"/>
          </w:tcPr>
          <w:p w14:paraId="71C2E796">
            <w:pPr>
              <w:widowControl w:val="0"/>
              <w:spacing w:line="360" w:lineRule="auto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Tài sản thuộc sở hữu của KH, vợ/chồng KH; hoặc</w:t>
            </w:r>
          </w:p>
          <w:p w14:paraId="577037F1">
            <w:pPr>
              <w:widowControl w:val="0"/>
              <w:spacing w:line="360" w:lineRule="auto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Tài sản thuộc sở hữu của bên thứ 3 có liên quan đến KH, vợ/chồng KH, gồm: Bố mẹ đẻ, vợ chồng con cái, vợ chồng anh chị em ruột, vợ chồng cô, bác, chú, dì, cậu ruột, hộ gia đình của KH, Doanh nghiệp tư nhân/Công ty TNHH MTV do KH hoặc vợ chồng KH làm chủ.</w:t>
            </w:r>
          </w:p>
          <w:p w14:paraId="37351B0A">
            <w:pPr>
              <w:widowControl w:val="0"/>
              <w:spacing w:line="360" w:lineRule="auto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- Độ tuổi của chủ sở hữu: </w:t>
            </w:r>
          </w:p>
          <w:p w14:paraId="4EF456DA">
            <w:pPr>
              <w:widowControl w:val="0"/>
              <w:numPr>
                <w:ilvl w:val="0"/>
                <w:numId w:val="5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Đối với giấy tờ có giá: không quá 75 tuổi.</w:t>
            </w:r>
          </w:p>
          <w:p w14:paraId="1EE9C523">
            <w:pPr>
              <w:widowControl w:val="0"/>
              <w:numPr>
                <w:ilvl w:val="0"/>
                <w:numId w:val="5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Đối với phương tiện vận tải: không quá 70 tuổi.</w:t>
            </w:r>
          </w:p>
          <w:p w14:paraId="07615F89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Đối với tài sản bất động sản: không quá 70 tuổi.</w:t>
            </w:r>
          </w:p>
        </w:tc>
      </w:tr>
      <w:tr w14:paraId="6D6F8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4EC6D56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8</w:t>
            </w:r>
          </w:p>
        </w:tc>
        <w:tc>
          <w:tcPr>
            <w:tcW w:w="2769" w:type="dxa"/>
          </w:tcPr>
          <w:p w14:paraId="678F693C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Thời gian cho vay</w:t>
            </w:r>
          </w:p>
        </w:tc>
        <w:tc>
          <w:tcPr>
            <w:tcW w:w="10596" w:type="dxa"/>
          </w:tcPr>
          <w:p w14:paraId="7E3D662B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Trường hợp vay từng lần:</w:t>
            </w:r>
          </w:p>
          <w:p w14:paraId="3AA2DCED">
            <w:pPr>
              <w:widowControl w:val="0"/>
              <w:numPr>
                <w:ilvl w:val="0"/>
                <w:numId w:val="6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Bất động sản/Giấy tờ có giá: 120 tháng.</w:t>
            </w:r>
          </w:p>
          <w:p w14:paraId="4554B789">
            <w:pPr>
              <w:widowControl w:val="0"/>
              <w:numPr>
                <w:ilvl w:val="0"/>
                <w:numId w:val="6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Ô tô: 60 tháng.</w:t>
            </w:r>
          </w:p>
          <w:p w14:paraId="5DE05443"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Trường hợp cấp hạn mức thấu chi: Duy trì hạn mức thấu chi tối đa 12 tháng.</w:t>
            </w:r>
          </w:p>
        </w:tc>
      </w:tr>
      <w:tr w14:paraId="162FC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7BBBCAA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9</w:t>
            </w:r>
          </w:p>
        </w:tc>
        <w:tc>
          <w:tcPr>
            <w:tcW w:w="2769" w:type="dxa"/>
          </w:tcPr>
          <w:p w14:paraId="13C9AB6A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Lãi suất cho vay</w:t>
            </w:r>
          </w:p>
        </w:tc>
        <w:tc>
          <w:tcPr>
            <w:tcW w:w="10596" w:type="dxa"/>
          </w:tcPr>
          <w:p w14:paraId="7CF4415B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- Lãi suất cố định: </w:t>
            </w:r>
          </w:p>
          <w:p w14:paraId="07B1BFFD">
            <w:pPr>
              <w:widowControl w:val="0"/>
              <w:numPr>
                <w:ilvl w:val="0"/>
                <w:numId w:val="6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12 tháng: 8,5%.</w:t>
            </w:r>
          </w:p>
          <w:p w14:paraId="3196868F">
            <w:pPr>
              <w:widowControl w:val="0"/>
              <w:numPr>
                <w:ilvl w:val="0"/>
                <w:numId w:val="6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24 tháng: 9,19%.</w:t>
            </w:r>
          </w:p>
          <w:p w14:paraId="51093660"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Lãi suất sau thời gian cố đinh: Lãi suất cơ sở tại ngày điều chỉnh lãi suất + Biên độ 3.5%/năm.</w:t>
            </w:r>
          </w:p>
          <w:p w14:paraId="0FAD95CE"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Kỳ điều chỉnh lãi suất: 3 tháng/lần hoặc 1 tháng/lần.</w:t>
            </w:r>
          </w:p>
        </w:tc>
      </w:tr>
      <w:tr w14:paraId="0A45D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6A0F6B1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10</w:t>
            </w:r>
          </w:p>
        </w:tc>
        <w:tc>
          <w:tcPr>
            <w:tcW w:w="2769" w:type="dxa"/>
          </w:tcPr>
          <w:p w14:paraId="2024DB10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Phí trả nợ trước hạn</w:t>
            </w:r>
          </w:p>
        </w:tc>
        <w:tc>
          <w:tcPr>
            <w:tcW w:w="10596" w:type="dxa"/>
          </w:tcPr>
          <w:p w14:paraId="0E15DF28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Năm đầu: 3%.</w:t>
            </w:r>
          </w:p>
          <w:p w14:paraId="1D075BC9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Năm thứ 2, 3: 2%.</w:t>
            </w:r>
            <w:bookmarkStart w:id="0" w:name="_GoBack"/>
            <w:bookmarkEnd w:id="0"/>
          </w:p>
          <w:p w14:paraId="0B1D2E98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Năm thứ 4, 5: 1,5%.</w:t>
            </w:r>
          </w:p>
          <w:p w14:paraId="7E2CFB70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Từ năm thứ 6: miễn phí.</w:t>
            </w:r>
          </w:p>
        </w:tc>
      </w:tr>
    </w:tbl>
    <w:p w14:paraId="5BB85639">
      <w:pPr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3A28AE"/>
    <w:multiLevelType w:val="singleLevel"/>
    <w:tmpl w:val="9D3A28A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0B55151"/>
    <w:multiLevelType w:val="singleLevel"/>
    <w:tmpl w:val="A0B551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4F268CF"/>
    <w:multiLevelType w:val="singleLevel"/>
    <w:tmpl w:val="D4F268C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81E6AD1"/>
    <w:multiLevelType w:val="singleLevel"/>
    <w:tmpl w:val="181E6A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B11A520"/>
    <w:multiLevelType w:val="singleLevel"/>
    <w:tmpl w:val="5B11A5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6ADC3CEA"/>
    <w:multiLevelType w:val="singleLevel"/>
    <w:tmpl w:val="6ADC3CEA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63425"/>
    <w:rsid w:val="069749FE"/>
    <w:rsid w:val="0EEE4713"/>
    <w:rsid w:val="37643DCA"/>
    <w:rsid w:val="63041588"/>
    <w:rsid w:val="6746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2025-12-11T04:29:00Z</dcterms:created>
  <dc:creator>Duy Ngọc Nguyễn</dc:creator>
  <cp:lastModifiedBy>Duy Ngọc Nguyễn</cp:lastModifiedBy>
  <dcterms:modified xsi:type="dcterms:W3CDTF">2025-12-15T02:02:03Z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D8C7B08CA6484189B3D87DC00112C9D8_11</vt:lpwstr>
  </property>
</Properties>
</file>