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2"/>
          <w:szCs w:val="52"/>
        </w:rPr>
        <w:t xml:space="preserve">The Unified PKM Framework</w:t>
      </w:r>
    </w:p>
    <w:p>
      <w:pPr>
        <w:spacing w:after="200"/>
        <w:jc w:val="center"/>
      </w:pPr>
      <w:r>
        <w:rPr>
          <w:rFonts w:ascii="Arial" w:cs="Arial" w:eastAsia="Arial" w:hAnsi="Arial"/>
          <w:color w:val="2E75B6"/>
          <w:sz w:val="30"/>
          <w:szCs w:val="30"/>
        </w:rPr>
        <w:t xml:space="preserve">Merging ICOR® and Linking Your Thinking (LYT)</w:t>
      </w:r>
    </w:p>
    <w:p>
      <w:pPr>
        <w:pBdr>
          <w:bottom w:val="single" w:color="D4A843" w:sz="6" w:space="8"/>
        </w:pBdr>
        <w:spacing w:after="80"/>
        <w:jc w:val="center"/>
      </w:pPr>
    </w:p>
    <w:p>
      <w:pPr>
        <w:spacing w:after="200"/>
      </w:pPr>
    </w:p>
    <w:p>
      <w:pPr>
        <w:spacing w:after="60"/>
        <w:jc w:val="center"/>
      </w:pPr>
      <w:r>
        <w:rPr>
          <w:rFonts w:ascii="Arial" w:cs="Arial" w:eastAsia="Arial" w:hAnsi="Arial"/>
          <w:i/>
          <w:iCs/>
          <w:color w:val="888888"/>
          <w:sz w:val="24"/>
          <w:szCs w:val="24"/>
        </w:rPr>
        <w:t xml:space="preserve">A Conceptual Synthesis Paper</w:t>
      </w:r>
    </w:p>
    <w:p>
      <w:pPr>
        <w:spacing w:after="60"/>
        <w:jc w:val="center"/>
      </w:pPr>
      <w:r>
        <w:rPr>
          <w:rFonts w:ascii="Arial" w:cs="Arial" w:eastAsia="Arial" w:hAnsi="Arial"/>
          <w:color w:val="333333"/>
          <w:sz w:val="22"/>
          <w:szCs w:val="22"/>
        </w:rPr>
        <w:t xml:space="preserve">From Process-Driven Productivity to Idea-Driven Thinking</w:t>
      </w:r>
    </w:p>
    <w:p>
      <w:pPr>
        <w:spacing w:after="600"/>
      </w:pPr>
    </w:p>
    <w:p>
      <w:pPr>
        <w:spacing w:after="60"/>
        <w:jc w:val="center"/>
      </w:pPr>
      <w:r>
        <w:rPr>
          <w:rFonts w:ascii="Arial" w:cs="Arial" w:eastAsia="Arial" w:hAnsi="Arial"/>
          <w:color w:val="333333"/>
          <w:sz w:val="22"/>
          <w:szCs w:val="22"/>
        </w:rPr>
        <w:t xml:space="preserve">Prepared by: OpenClaw Research</w:t>
      </w:r>
    </w:p>
    <w:p>
      <w:pPr>
        <w:spacing w:after="60"/>
        <w:jc w:val="center"/>
      </w:pPr>
      <w:r>
        <w:rPr>
          <w:rFonts w:ascii="Arial" w:cs="Arial" w:eastAsia="Arial" w:hAnsi="Arial"/>
          <w:color w:val="333333"/>
          <w:sz w:val="22"/>
          <w:szCs w:val="22"/>
        </w:rPr>
        <w:t xml:space="preserve">Date: March 2026</w:t>
      </w:r>
    </w:p>
    <w:p>
      <w:pPr>
        <w:spacing w:after="60"/>
        <w:jc w:val="center"/>
      </w:pPr>
      <w:r>
        <w:rPr>
          <w:rFonts w:ascii="Arial" w:cs="Arial" w:eastAsia="Arial" w:hAnsi="Arial"/>
          <w:color w:val="888888"/>
          <w:sz w:val="20"/>
          <w:szCs w:val="20"/>
        </w:rPr>
        <w:t xml:space="preserve">Sources: Tom Solid (Paperless Movement® / ICOR®) · Nick Milo (Linking Your Thinking / LYT)</w:t>
      </w:r>
    </w:p>
    <w:p>
      <w:r>
        <w:br w:type="page"/>
      </w:r>
    </w:p>
    <w:p>
      <w:pPr>
        <w:spacing w:after="300"/>
        <w:jc w:val="center"/>
      </w:pPr>
      <w:r>
        <w:rPr>
          <w:rFonts w:ascii="Arial" w:cs="Arial" w:eastAsia="Arial" w:hAnsi="Arial"/>
          <w:b/>
          <w:bCs/>
          <w:color w:val="1B3A5C"/>
          <w:sz w:val="32"/>
          <w:szCs w:val="32"/>
        </w:rPr>
        <w:t xml:space="preserve">Table of Contents</w:t>
      </w:r>
    </w:p>
    <w:p>
      <w:pPr>
        <w:spacing w:after="100"/>
        <w:ind w:left="360"/>
      </w:pPr>
      <w:r>
        <w:rPr>
          <w:rFonts w:ascii="Arial" w:cs="Arial" w:eastAsia="Arial" w:hAnsi="Arial"/>
          <w:color w:val="2E75B6"/>
          <w:sz w:val="22"/>
          <w:szCs w:val="22"/>
        </w:rPr>
        <w:t xml:space="preserve">1. Introduction: The Convergence of Two PKM Philosophies</w:t>
      </w:r>
    </w:p>
    <w:p>
      <w:pPr>
        <w:spacing w:after="100"/>
        <w:ind w:left="360"/>
      </w:pPr>
      <w:r>
        <w:rPr>
          <w:rFonts w:ascii="Arial" w:cs="Arial" w:eastAsia="Arial" w:hAnsi="Arial"/>
          <w:color w:val="2E75B6"/>
          <w:sz w:val="22"/>
          <w:szCs w:val="22"/>
        </w:rPr>
        <w:t xml:space="preserve">2. The Two Founders: Parallel Journeys</w:t>
      </w:r>
    </w:p>
    <w:p>
      <w:pPr>
        <w:spacing w:after="100"/>
        <w:ind w:left="360"/>
      </w:pPr>
      <w:r>
        <w:rPr>
          <w:rFonts w:ascii="Arial" w:cs="Arial" w:eastAsia="Arial" w:hAnsi="Arial"/>
          <w:color w:val="2E75B6"/>
          <w:sz w:val="22"/>
          <w:szCs w:val="22"/>
        </w:rPr>
        <w:t xml:space="preserve">3. ICOR®: The Process-Driven Engine</w:t>
      </w:r>
    </w:p>
    <w:p>
      <w:pPr>
        <w:spacing w:after="100"/>
        <w:ind w:left="360"/>
      </w:pPr>
      <w:r>
        <w:rPr>
          <w:rFonts w:ascii="Arial" w:cs="Arial" w:eastAsia="Arial" w:hAnsi="Arial"/>
          <w:color w:val="2E75B6"/>
          <w:sz w:val="22"/>
          <w:szCs w:val="22"/>
        </w:rPr>
        <w:t xml:space="preserve">4. LYT: The Idea-Driven Ecosystem</w:t>
      </w:r>
    </w:p>
    <w:p>
      <w:pPr>
        <w:spacing w:after="100"/>
        <w:ind w:left="360"/>
      </w:pPr>
      <w:r>
        <w:rPr>
          <w:rFonts w:ascii="Arial" w:cs="Arial" w:eastAsia="Arial" w:hAnsi="Arial"/>
          <w:color w:val="2E75B6"/>
          <w:sz w:val="22"/>
          <w:szCs w:val="22"/>
        </w:rPr>
        <w:t xml:space="preserve">5. Philosophical Comparison: Where They Align and Diverge</w:t>
      </w:r>
    </w:p>
    <w:p>
      <w:pPr>
        <w:spacing w:after="100"/>
        <w:ind w:left="360"/>
      </w:pPr>
      <w:r>
        <w:rPr>
          <w:rFonts w:ascii="Arial" w:cs="Arial" w:eastAsia="Arial" w:hAnsi="Arial"/>
          <w:color w:val="2E75B6"/>
          <w:sz w:val="22"/>
          <w:szCs w:val="22"/>
        </w:rPr>
        <w:t xml:space="preserve">6. The Unified Model: ICOR × LYT</w:t>
      </w:r>
    </w:p>
    <w:p>
      <w:pPr>
        <w:spacing w:after="100"/>
        <w:ind w:left="360"/>
      </w:pPr>
      <w:r>
        <w:rPr>
          <w:rFonts w:ascii="Arial" w:cs="Arial" w:eastAsia="Arial" w:hAnsi="Arial"/>
          <w:color w:val="2E75B6"/>
          <w:sz w:val="22"/>
          <w:szCs w:val="22"/>
        </w:rPr>
        <w:t xml:space="preserve">7. Unified Architecture: ACE Meets the Four Quadrants</w:t>
      </w:r>
    </w:p>
    <w:p>
      <w:pPr>
        <w:spacing w:after="100"/>
        <w:ind w:left="360"/>
      </w:pPr>
      <w:r>
        <w:rPr>
          <w:rFonts w:ascii="Arial" w:cs="Arial" w:eastAsia="Arial" w:hAnsi="Arial"/>
          <w:color w:val="2E75B6"/>
          <w:sz w:val="22"/>
          <w:szCs w:val="22"/>
        </w:rPr>
        <w:t xml:space="preserve">8. Unified Workflow: ARC Meets the ICOR Pipeline</w:t>
      </w:r>
    </w:p>
    <w:p>
      <w:pPr>
        <w:spacing w:after="100"/>
        <w:ind w:left="360"/>
      </w:pPr>
      <w:r>
        <w:rPr>
          <w:rFonts w:ascii="Arial" w:cs="Arial" w:eastAsia="Arial" w:hAnsi="Arial"/>
          <w:color w:val="2E75B6"/>
          <w:sz w:val="22"/>
          <w:szCs w:val="22"/>
        </w:rPr>
        <w:t xml:space="preserve">9. The Unified Tool Stack</w:t>
      </w:r>
    </w:p>
    <w:p>
      <w:pPr>
        <w:spacing w:after="100"/>
        <w:ind w:left="360"/>
      </w:pPr>
      <w:r>
        <w:rPr>
          <w:rFonts w:ascii="Arial" w:cs="Arial" w:eastAsia="Arial" w:hAnsi="Arial"/>
          <w:color w:val="2E75B6"/>
          <w:sz w:val="22"/>
          <w:szCs w:val="22"/>
        </w:rPr>
        <w:t xml:space="preserve">10. The Foundation Layer: Markdown and YAML</w:t>
      </w:r>
    </w:p>
    <w:p>
      <w:pPr>
        <w:spacing w:after="100"/>
        <w:ind w:left="360"/>
      </w:pPr>
      <w:r>
        <w:rPr>
          <w:rFonts w:ascii="Arial" w:cs="Arial" w:eastAsia="Arial" w:hAnsi="Arial"/>
          <w:color w:val="2E75B6"/>
          <w:sz w:val="22"/>
          <w:szCs w:val="22"/>
        </w:rPr>
        <w:t xml:space="preserve">11. Practical Implementation Guide</w:t>
      </w:r>
    </w:p>
    <w:p>
      <w:pPr>
        <w:spacing w:after="100"/>
        <w:ind w:left="360"/>
      </w:pPr>
      <w:r>
        <w:rPr>
          <w:rFonts w:ascii="Arial" w:cs="Arial" w:eastAsia="Arial" w:hAnsi="Arial"/>
          <w:color w:val="2E75B6"/>
          <w:sz w:val="22"/>
          <w:szCs w:val="22"/>
        </w:rPr>
        <w:t xml:space="preserve">12. Conclusion: A System Greater Than Its Parts</w:t>
      </w:r>
    </w:p>
    <w:p>
      <w:pPr>
        <w:spacing w:after="100"/>
        <w:ind w:left="360"/>
      </w:pPr>
      <w:r>
        <w:rPr>
          <w:rFonts w:ascii="Arial" w:cs="Arial" w:eastAsia="Arial" w:hAnsi="Arial"/>
          <w:color w:val="2E75B6"/>
          <w:sz w:val="22"/>
          <w:szCs w:val="22"/>
        </w:rPr>
        <w:t xml:space="preserve">References and Resources</w:t>
      </w:r>
    </w:p>
    <w:p>
      <w:r>
        <w:br w:type="page"/>
      </w:r>
    </w:p>
    <w:p>
      <w:pPr>
        <w:pStyle w:val="Heading1"/>
        <w:spacing w:before="360" w:after="200"/>
      </w:pPr>
      <w:r>
        <w:rPr>
          <w:rFonts w:ascii="Arial" w:cs="Arial" w:eastAsia="Arial" w:hAnsi="Arial"/>
          <w:b/>
          <w:bCs/>
          <w:color w:val="1B3A5C"/>
          <w:sz w:val="32"/>
          <w:szCs w:val="32"/>
        </w:rPr>
        <w:t xml:space="preserve">1. Introduction: The Convergence of Two PKM Philosophies</w:t>
      </w:r>
    </w:p>
    <w:p>
      <w:pPr>
        <w:spacing w:after="160" w:line="312"/>
        <w:jc w:val="both"/>
      </w:pPr>
      <w:r>
        <w:rPr>
          <w:rFonts w:ascii="Arial" w:cs="Arial" w:eastAsia="Arial" w:hAnsi="Arial"/>
          <w:color w:val="333333"/>
          <w:sz w:val="22"/>
          <w:szCs w:val="22"/>
        </w:rPr>
        <w:t xml:space="preserve">Personal Knowledge Management (PKM) has emerged as one of the defining disciplines of the Information Age. As professionals drown in data, notifications, and an ever-expanding landscape of digital tools, the need for a coherent system to capture, process, and act on information has never been more acute. Two of the most influential methodologies to address this challenge are Tom Solid’s ICOR® (Input, Control, Output, Refine) and Nick Milo’s LYT (Linking Your Thinking).</w:t>
      </w:r>
    </w:p>
    <w:p>
      <w:pPr>
        <w:spacing w:after="160" w:line="312"/>
        <w:jc w:val="both"/>
      </w:pPr>
      <w:r>
        <w:rPr>
          <w:rFonts w:ascii="Arial" w:cs="Arial" w:eastAsia="Arial" w:hAnsi="Arial"/>
          <w:color w:val="333333"/>
          <w:sz w:val="22"/>
          <w:szCs w:val="22"/>
        </w:rPr>
        <w:t xml:space="preserve">At first glance, these two approaches appear to occupy different philosophical territories. ICOR® is a process-driven, tool-agnostic productivity framework born from corporate efficiency work. LYT is an idea-driven, link-based knowledge system born from creative and intellectual pursuits. One emphasizes workflow pipelines and operational clarity; the other emphasizes cognitive emergence and the organic growth of ideas.</w:t>
      </w:r>
    </w:p>
    <w:p>
      <w:pPr>
        <w:spacing w:after="160" w:line="312"/>
        <w:jc w:val="both"/>
      </w:pPr>
      <w:r>
        <w:rPr>
          <w:rFonts w:ascii="Arial" w:cs="Arial" w:eastAsia="Arial" w:hAnsi="Arial"/>
          <w:color w:val="333333"/>
          <w:sz w:val="22"/>
          <w:szCs w:val="22"/>
        </w:rPr>
        <w:t xml:space="preserve">Yet a closer examination reveals that they are not competitors—they are complementary halves of a complete PKM operating system. ICOR® provides the operational skeleton: how information flows through a system from capture to refinement. LYT provides the cognitive muscle: how ideas connect, emerge, and compound over a lifetime. Together, they offer a unified framework that is both structurally robust and intellectually alive.</w:t>
      </w:r>
    </w:p>
    <w:p>
      <w:pPr>
        <w:spacing w:after="160" w:line="312"/>
        <w:jc w:val="both"/>
      </w:pPr>
      <w:r>
        <w:rPr>
          <w:rFonts w:ascii="Arial" w:cs="Arial" w:eastAsia="Arial" w:hAnsi="Arial"/>
          <w:color w:val="333333"/>
          <w:sz w:val="22"/>
          <w:szCs w:val="22"/>
        </w:rPr>
        <w:t xml:space="preserve">This paper presents a detailed synthesis of both philosophies, mapping their convergences, resolving their tensions, and proposing a unified model that any knowledge worker can adopt—regardless of tool preference, professional domain, or technical skill level.</w:t>
      </w:r>
    </w:p>
    <w:p>
      <w:pPr>
        <w:pBdr>
          <w:bottom w:val="single" w:color="D4A843" w:sz="4" w:space="1"/>
        </w:pBdr>
        <w:spacing w:before="200" w:after="200"/>
      </w:pPr>
    </w:p>
    <w:p>
      <w:pPr>
        <w:pStyle w:val="Heading1"/>
        <w:spacing w:before="360" w:after="200"/>
      </w:pPr>
      <w:r>
        <w:rPr>
          <w:rFonts w:ascii="Arial" w:cs="Arial" w:eastAsia="Arial" w:hAnsi="Arial"/>
          <w:b/>
          <w:bCs/>
          <w:color w:val="1B3A5C"/>
          <w:sz w:val="32"/>
          <w:szCs w:val="32"/>
        </w:rPr>
        <w:t xml:space="preserve">2. The Two Founders: Parallel Journeys</w:t>
      </w:r>
    </w:p>
    <w:p>
      <w:pPr>
        <w:pStyle w:val="Heading2"/>
        <w:spacing w:before="280" w:after="160"/>
      </w:pPr>
      <w:r>
        <w:rPr>
          <w:rFonts w:ascii="Arial" w:cs="Arial" w:eastAsia="Arial" w:hAnsi="Arial"/>
          <w:b/>
          <w:bCs/>
          <w:color w:val="2E75B6"/>
          <w:sz w:val="26"/>
          <w:szCs w:val="26"/>
        </w:rPr>
        <w:t xml:space="preserve">2.1 Tom Solid (Dr. Thomas Roedl)</w:t>
      </w:r>
    </w:p>
    <w:p>
      <w:pPr>
        <w:spacing w:after="160" w:line="312"/>
        <w:jc w:val="both"/>
      </w:pPr>
      <w:r>
        <w:rPr>
          <w:rFonts w:ascii="Arial" w:cs="Arial" w:eastAsia="Arial" w:hAnsi="Arial"/>
          <w:color w:val="333333"/>
          <w:sz w:val="22"/>
          <w:szCs w:val="22"/>
        </w:rPr>
        <w:t xml:space="preserve">Tom Solid holds a doctorate in Biochemistry and Molecular Biology from the University of Salford. His PKM methodology was not born in academia, however—it was forged in the high-pressure environment of F. Hoffmann-La Roche, where he achieved a 60% team performance increase without adding headcount and implemented Asana across over a thousand employees. These experiences exposed a systemic problem: professionals spend more than 60% of their day on “work about work”—searching for information, switching between tools, and managing fragmented systems.</w:t>
      </w:r>
    </w:p>
    <w:p>
      <w:pPr>
        <w:spacing w:after="160" w:line="312"/>
        <w:jc w:val="both"/>
      </w:pPr>
      <w:r>
        <w:rPr>
          <w:rFonts w:ascii="Arial" w:cs="Arial" w:eastAsia="Arial" w:hAnsi="Arial"/>
          <w:color w:val="333333"/>
          <w:sz w:val="22"/>
          <w:szCs w:val="22"/>
        </w:rPr>
        <w:t xml:space="preserve">In 2018, Tom founded the Paperless Movement®, and in 2022, Paco Cantero joined as co-founder. Together they developed ICOR® into a registered methodology with a book, a web application (myICOR), a podcast (“Productivity Like a Pro”), and a membership community of over 87,000 professionals.</w:t>
      </w:r>
    </w:p>
    <w:p>
      <w:pPr>
        <w:pStyle w:val="Heading2"/>
        <w:spacing w:before="280" w:after="160"/>
      </w:pPr>
      <w:r>
        <w:rPr>
          <w:rFonts w:ascii="Arial" w:cs="Arial" w:eastAsia="Arial" w:hAnsi="Arial"/>
          <w:b/>
          <w:bCs/>
          <w:color w:val="2E75B6"/>
          <w:sz w:val="26"/>
          <w:szCs w:val="26"/>
        </w:rPr>
        <w:t xml:space="preserve">2.2 Nick Milo</w:t>
      </w:r>
    </w:p>
    <w:p>
      <w:pPr>
        <w:spacing w:after="160" w:line="312"/>
        <w:jc w:val="both"/>
      </w:pPr>
      <w:r>
        <w:rPr>
          <w:rFonts w:ascii="Arial" w:cs="Arial" w:eastAsia="Arial" w:hAnsi="Arial"/>
          <w:color w:val="333333"/>
          <w:sz w:val="22"/>
          <w:szCs w:val="22"/>
        </w:rPr>
        <w:t xml:space="preserve">Nick Milo’s path is strikingly non-linear. A former college football player and 3x national champion, he later worked as a civil engineer, co-founded an international fitness boxing business, produced two independent feature films, and joined the Editors Guild to work on Breaking Bad: El Camino and Better Call Saul. Across every domain, his digital notes served as his personal operating system.</w:t>
      </w:r>
    </w:p>
    <w:p>
      <w:pPr>
        <w:spacing w:after="160" w:line="312"/>
        <w:jc w:val="both"/>
      </w:pPr>
      <w:r>
        <w:rPr>
          <w:rFonts w:ascii="Arial" w:cs="Arial" w:eastAsia="Arial" w:hAnsi="Arial"/>
          <w:color w:val="333333"/>
          <w:sz w:val="22"/>
          <w:szCs w:val="22"/>
        </w:rPr>
        <w:t xml:space="preserve">In 2020, Nick launched the first Linking Your Thinking workshop with a small group of Obsidian community volunteers. Since then, LYT has grown to over 1,600 workshop alumni from 60+ countries, a YouTube channel surpassing 100,000 subscribers, and a suite of products including the Ideaverse for Obsidian (downloaded over 70,000 times), Ideaverse Pro, Obsidian Flight School, and the annual LYTCon conference.</w:t>
      </w:r>
    </w:p>
    <w:p>
      <w:pPr>
        <w:pStyle w:val="Heading2"/>
        <w:spacing w:before="280" w:after="160"/>
      </w:pPr>
      <w:r>
        <w:rPr>
          <w:rFonts w:ascii="Arial" w:cs="Arial" w:eastAsia="Arial" w:hAnsi="Arial"/>
          <w:b/>
          <w:bCs/>
          <w:color w:val="2E75B6"/>
          <w:sz w:val="26"/>
          <w:szCs w:val="26"/>
        </w:rPr>
        <w:t xml:space="preserve">2.3 The Shared Root</w:t>
      </w:r>
    </w:p>
    <w:p>
      <w:pPr>
        <w:spacing w:after="160" w:line="312"/>
        <w:jc w:val="both"/>
      </w:pPr>
      <w:r>
        <w:rPr>
          <w:rFonts w:ascii="Arial" w:cs="Arial" w:eastAsia="Arial" w:hAnsi="Arial"/>
          <w:color w:val="333333"/>
          <w:sz w:val="22"/>
          <w:szCs w:val="22"/>
        </w:rPr>
        <w:t xml:space="preserve">Despite their different biographies, both founders arrived at the same fundamental insight: the problem is never the tool—it is the absence of a system beneath the tools. Tom Solid articulates this as “Processes First”; Nick Milo articulates it through the concept of the “Ideaverse,” where the system outlasts any single application. Both are passionately tool-agnostic in principle, even as they demonstrate their frameworks primarily through specific platforms (ClickUp/Tana/Heptabase for ICOR®; Obsidian for LYT).</w:t>
      </w:r>
    </w:p>
    <w:p>
      <w:r>
        <w:br w:type="page"/>
      </w:r>
    </w:p>
    <w:p>
      <w:pPr>
        <w:pStyle w:val="Heading1"/>
        <w:spacing w:before="360" w:after="200"/>
      </w:pPr>
      <w:r>
        <w:rPr>
          <w:rFonts w:ascii="Arial" w:cs="Arial" w:eastAsia="Arial" w:hAnsi="Arial"/>
          <w:b/>
          <w:bCs/>
          <w:color w:val="1B3A5C"/>
          <w:sz w:val="32"/>
          <w:szCs w:val="32"/>
        </w:rPr>
        <w:t xml:space="preserve">3. ICOR®: The Process-Driven Engine</w:t>
      </w:r>
    </w:p>
    <w:p>
      <w:pPr>
        <w:spacing w:after="160" w:line="312"/>
        <w:jc w:val="both"/>
      </w:pPr>
      <w:r>
        <w:rPr>
          <w:rFonts w:ascii="Arial" w:cs="Arial" w:eastAsia="Arial" w:hAnsi="Arial"/>
          <w:color w:val="333333"/>
          <w:sz w:val="22"/>
          <w:szCs w:val="22"/>
        </w:rPr>
        <w:t xml:space="preserve">ICOR® stands for Input, Control, Output, and Refine. It is a comprehensive, end-to-end productivity methodology that maps the entire lifecycle of information—from the moment it enters a professional’s world to the moment it produces a tangible result, and then loops back for continuous improvement.</w:t>
      </w:r>
    </w:p>
    <w:p>
      <w:pPr>
        <w:pStyle w:val="Heading2"/>
        <w:spacing w:before="280" w:after="160"/>
      </w:pPr>
      <w:r>
        <w:rPr>
          <w:rFonts w:ascii="Arial" w:cs="Arial" w:eastAsia="Arial" w:hAnsi="Arial"/>
          <w:b/>
          <w:bCs/>
          <w:color w:val="2E75B6"/>
          <w:sz w:val="26"/>
          <w:szCs w:val="26"/>
        </w:rPr>
        <w:t xml:space="preserve">3.1 The Four Stages</w:t>
      </w:r>
    </w:p>
    <w:p>
      <w:pPr>
        <w:spacing w:before="200" w:after="120"/>
      </w:pPr>
      <w:r>
        <w:rPr>
          <w:rFonts w:ascii="Arial" w:cs="Arial" w:eastAsia="Arial" w:hAnsi="Arial"/>
          <w:b/>
          <w:bCs/>
          <w:color w:val="1B3A5C"/>
          <w:sz w:val="22"/>
          <w:szCs w:val="22"/>
        </w:rPr>
        <w:t xml:space="preserve">Input</w:t>
      </w:r>
    </w:p>
    <w:p>
      <w:pPr>
        <w:spacing w:after="160" w:line="312"/>
        <w:jc w:val="both"/>
      </w:pPr>
      <w:r>
        <w:rPr>
          <w:rFonts w:ascii="Arial" w:cs="Arial" w:eastAsia="Arial" w:hAnsi="Arial"/>
          <w:color w:val="333333"/>
          <w:sz w:val="22"/>
          <w:szCs w:val="22"/>
        </w:rPr>
        <w:t xml:space="preserve">The Input stage addresses how information enters the system. This includes external sources (emails, articles, meetings, conversations) and internal sources (personal reflections, brainstorming, creative ideas). ICOR® distinguishes between the “Outer World” (information from external sources) and the “Inner World” (information generated from one’s own thinking). This separation is critical for reducing friction in information retrieval and decision-making. The goal is to become what Tom calls a “Capturing Beast”—efficient, intentional, and systematic in how you gather information.</w:t>
      </w:r>
    </w:p>
    <w:p>
      <w:pPr>
        <w:spacing w:before="200" w:after="120"/>
      </w:pPr>
      <w:r>
        <w:rPr>
          <w:rFonts w:ascii="Arial" w:cs="Arial" w:eastAsia="Arial" w:hAnsi="Arial"/>
          <w:b/>
          <w:bCs/>
          <w:color w:val="1B3A5C"/>
          <w:sz w:val="22"/>
          <w:szCs w:val="22"/>
        </w:rPr>
        <w:t xml:space="preserve">Control</w:t>
      </w:r>
    </w:p>
    <w:p>
      <w:pPr>
        <w:spacing w:after="160" w:line="312"/>
        <w:jc w:val="both"/>
      </w:pPr>
      <w:r>
        <w:rPr>
          <w:rFonts w:ascii="Arial" w:cs="Arial" w:eastAsia="Arial" w:hAnsi="Arial"/>
          <w:color w:val="333333"/>
          <w:sz w:val="22"/>
          <w:szCs w:val="22"/>
        </w:rPr>
        <w:t xml:space="preserve">Control is the transformation engine. Raw information is processed into organized knowledge and actionable tasks. This stage answers the question: “What do I do with this?” It involves categorization, prioritization, and routing—deciding whether a piece of information belongs in your knowledge base (PKM or BKM) or your task/project pipeline (PPM or BPM). Control is about converting the chaos of inputs into a structured landscape where every item has a clear destination and purpose.</w:t>
      </w:r>
    </w:p>
    <w:p>
      <w:pPr>
        <w:spacing w:before="200" w:after="120"/>
      </w:pPr>
      <w:r>
        <w:rPr>
          <w:rFonts w:ascii="Arial" w:cs="Arial" w:eastAsia="Arial" w:hAnsi="Arial"/>
          <w:b/>
          <w:bCs/>
          <w:color w:val="1B3A5C"/>
          <w:sz w:val="22"/>
          <w:szCs w:val="22"/>
        </w:rPr>
        <w:t xml:space="preserve">Output</w:t>
      </w:r>
    </w:p>
    <w:p>
      <w:pPr>
        <w:spacing w:after="160" w:line="312"/>
        <w:jc w:val="both"/>
      </w:pPr>
      <w:r>
        <w:rPr>
          <w:rFonts w:ascii="Arial" w:cs="Arial" w:eastAsia="Arial" w:hAnsi="Arial"/>
          <w:color w:val="333333"/>
          <w:sz w:val="22"/>
          <w:szCs w:val="22"/>
        </w:rPr>
        <w:t xml:space="preserve">The Output stage is where execution happens. Tasks are completed, projects advance, and deliverables are produced. Tom Solid emphasizes the concept of the “Execution Beast”—breaking projects into manageable, actionable units and driving them to completion. Output is not just about doing more; it is about producing the right results aligned with your personal and professional goals.</w:t>
      </w:r>
    </w:p>
    <w:p>
      <w:pPr>
        <w:spacing w:before="200" w:after="120"/>
      </w:pPr>
      <w:r>
        <w:rPr>
          <w:rFonts w:ascii="Arial" w:cs="Arial" w:eastAsia="Arial" w:hAnsi="Arial"/>
          <w:b/>
          <w:bCs/>
          <w:color w:val="1B3A5C"/>
          <w:sz w:val="22"/>
          <w:szCs w:val="22"/>
        </w:rPr>
        <w:t xml:space="preserve">Refine</w:t>
      </w:r>
    </w:p>
    <w:p>
      <w:pPr>
        <w:spacing w:after="160" w:line="312"/>
        <w:jc w:val="both"/>
      </w:pPr>
      <w:r>
        <w:rPr>
          <w:rFonts w:ascii="Arial" w:cs="Arial" w:eastAsia="Arial" w:hAnsi="Arial"/>
          <w:color w:val="333333"/>
          <w:sz w:val="22"/>
          <w:szCs w:val="22"/>
        </w:rPr>
        <w:t xml:space="preserve">The Refine stage closes the loop. It applies the principles of iteration and continuous improvement to the productivity system itself. This includes reviewing workflows, eliminating redundancies in the tool stack, automating repetitive tasks, and evolving the system as needs change. ICOR® is built on systems theory—everything is interconnected and self-improving.</w:t>
      </w:r>
    </w:p>
    <w:p>
      <w:pPr>
        <w:pStyle w:val="Heading2"/>
        <w:spacing w:before="280" w:after="160"/>
      </w:pPr>
      <w:r>
        <w:rPr>
          <w:rFonts w:ascii="Arial" w:cs="Arial" w:eastAsia="Arial" w:hAnsi="Arial"/>
          <w:b/>
          <w:bCs/>
          <w:color w:val="2E75B6"/>
          <w:sz w:val="26"/>
          <w:szCs w:val="26"/>
        </w:rPr>
        <w:t xml:space="preserve">3.2 The Four Quadrants</w:t>
      </w:r>
    </w:p>
    <w:p>
      <w:pPr>
        <w:spacing w:after="160" w:line="312"/>
        <w:jc w:val="both"/>
      </w:pPr>
      <w:r>
        <w:rPr>
          <w:rFonts w:ascii="Arial" w:cs="Arial" w:eastAsia="Arial" w:hAnsi="Arial"/>
          <w:color w:val="333333"/>
          <w:sz w:val="22"/>
          <w:szCs w:val="22"/>
        </w:rPr>
        <w:t xml:space="preserve">Layered onto the four stages is a categorization framework that divides all productivity work into four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Knowledge Management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Management</w:t>
            </w:r>
          </w:p>
        </w:tc>
      </w:tr>
      <w:tr>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Personal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PKM – Personal Knowledge Management (notes, learning, ideas)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PPM – Personal Project Management (task management, personal goals)</w:t>
            </w:r>
          </w:p>
        </w:tc>
      </w:tr>
      <w:tr>
        <w:tc>
          <w:tcPr>
            <w:tcW w:type="dxa" w:w="23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Business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BKM – Business Knowledge Management (SOPs, team knowledge, documentation)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BPM – Business Project Management (team projects, client work, operations)</w:t>
            </w:r>
          </w:p>
        </w:tc>
      </w:tr>
    </w:tbl>
    <w:p>
      <w:pPr>
        <w:spacing w:after="120"/>
      </w:pPr>
    </w:p>
    <w:p>
      <w:pPr>
        <w:pStyle w:val="Heading2"/>
        <w:spacing w:before="280" w:after="160"/>
      </w:pPr>
      <w:r>
        <w:rPr>
          <w:rFonts w:ascii="Arial" w:cs="Arial" w:eastAsia="Arial" w:hAnsi="Arial"/>
          <w:b/>
          <w:bCs/>
          <w:color w:val="2E75B6"/>
          <w:sz w:val="26"/>
          <w:szCs w:val="26"/>
        </w:rPr>
        <w:t xml:space="preserve">3.3 Tool Classification</w:t>
      </w:r>
    </w:p>
    <w:p>
      <w:pPr>
        <w:spacing w:after="160" w:line="312"/>
        <w:jc w:val="both"/>
      </w:pPr>
      <w:r>
        <w:rPr>
          <w:rFonts w:ascii="Arial" w:cs="Arial" w:eastAsia="Arial" w:hAnsi="Arial"/>
          <w:color w:val="333333"/>
          <w:sz w:val="22"/>
          <w:szCs w:val="22"/>
        </w:rPr>
        <w:t xml:space="preserve">ICOR® classifies every tool in your stack into one of three tiers:</w:t>
      </w:r>
    </w:p>
    <w:p>
      <w:pPr>
        <w:pStyle w:val="ListParagraph"/>
        <w:numPr>
          <w:ilvl w:val="0"/>
          <w:numId w:val="2"/>
        </w:numPr>
        <w:spacing w:after="80" w:line="312"/>
      </w:pPr>
      <w:r>
        <w:rPr>
          <w:rFonts w:ascii="Arial" w:cs="Arial" w:eastAsia="Arial" w:hAnsi="Arial"/>
          <w:b/>
          <w:bCs/>
          <w:color w:val="1B3A5C"/>
          <w:sz w:val="22"/>
          <w:szCs w:val="22"/>
        </w:rPr>
        <w:t xml:space="preserve">Core Apps: </w:t>
      </w:r>
      <w:r>
        <w:rPr>
          <w:rFonts w:ascii="Arial" w:cs="Arial" w:eastAsia="Arial" w:hAnsi="Arial"/>
          <w:color w:val="333333"/>
          <w:sz w:val="22"/>
          <w:szCs w:val="22"/>
        </w:rPr>
        <w:t xml:space="preserve">The backbone of the system. These serve as your Single Source of Truth and cannot be easily replaced (e.g., your primary note-taking app, your project management platform).</w:t>
      </w:r>
    </w:p>
    <w:p>
      <w:pPr>
        <w:pStyle w:val="ListParagraph"/>
        <w:numPr>
          <w:ilvl w:val="0"/>
          <w:numId w:val="2"/>
        </w:numPr>
        <w:spacing w:after="80" w:line="312"/>
      </w:pPr>
      <w:r>
        <w:rPr>
          <w:rFonts w:ascii="Arial" w:cs="Arial" w:eastAsia="Arial" w:hAnsi="Arial"/>
          <w:b/>
          <w:bCs/>
          <w:color w:val="1B3A5C"/>
          <w:sz w:val="22"/>
          <w:szCs w:val="22"/>
        </w:rPr>
        <w:t xml:space="preserve">Satellite Apps: </w:t>
      </w:r>
      <w:r>
        <w:rPr>
          <w:rFonts w:ascii="Arial" w:cs="Arial" w:eastAsia="Arial" w:hAnsi="Arial"/>
          <w:color w:val="333333"/>
          <w:sz w:val="22"/>
          <w:szCs w:val="22"/>
        </w:rPr>
        <w:t xml:space="preserve">Supporting tools that reduce friction and enhance Core Apps (e.g., Readwise for highlights, automation tools).</w:t>
      </w:r>
    </w:p>
    <w:p>
      <w:pPr>
        <w:pStyle w:val="ListParagraph"/>
        <w:numPr>
          <w:ilvl w:val="0"/>
          <w:numId w:val="2"/>
        </w:numPr>
        <w:spacing w:after="80" w:line="312"/>
      </w:pPr>
      <w:r>
        <w:rPr>
          <w:rFonts w:ascii="Arial" w:cs="Arial" w:eastAsia="Arial" w:hAnsi="Arial"/>
          <w:b/>
          <w:bCs/>
          <w:color w:val="1B3A5C"/>
          <w:sz w:val="22"/>
          <w:szCs w:val="22"/>
        </w:rPr>
        <w:t xml:space="preserve">Utility Apps: </w:t>
      </w:r>
      <w:r>
        <w:rPr>
          <w:rFonts w:ascii="Arial" w:cs="Arial" w:eastAsia="Arial" w:hAnsi="Arial"/>
          <w:color w:val="333333"/>
          <w:sz w:val="22"/>
          <w:szCs w:val="22"/>
        </w:rPr>
        <w:t xml:space="preserve">Non-essential extras that add convenience but can be removed without disrupting the system.</w:t>
      </w:r>
    </w:p>
    <w:p>
      <w:r>
        <w:br w:type="page"/>
      </w:r>
    </w:p>
    <w:p>
      <w:pPr>
        <w:pStyle w:val="Heading1"/>
        <w:spacing w:before="360" w:after="200"/>
      </w:pPr>
      <w:r>
        <w:rPr>
          <w:rFonts w:ascii="Arial" w:cs="Arial" w:eastAsia="Arial" w:hAnsi="Arial"/>
          <w:b/>
          <w:bCs/>
          <w:color w:val="1B3A5C"/>
          <w:sz w:val="32"/>
          <w:szCs w:val="32"/>
        </w:rPr>
        <w:t xml:space="preserve">4. LYT: The Idea-Driven Ecosystem</w:t>
      </w:r>
    </w:p>
    <w:p>
      <w:pPr>
        <w:spacing w:after="160" w:line="312"/>
        <w:jc w:val="both"/>
      </w:pPr>
      <w:r>
        <w:rPr>
          <w:rFonts w:ascii="Arial" w:cs="Arial" w:eastAsia="Arial" w:hAnsi="Arial"/>
          <w:color w:val="333333"/>
          <w:sz w:val="22"/>
          <w:szCs w:val="22"/>
        </w:rPr>
        <w:t xml:space="preserve">Linking Your Thinking (LYT) is a PKM framework that emphasizes the organic growth of ideas through interconnected notes. Where ICOR® maps the operational lifecycle of information, LYT maps the cognitive lifecycle of ideas—how they are born, connect, mature, and ultimately produce creative or intellectual output.</w:t>
      </w:r>
    </w:p>
    <w:p>
      <w:pPr>
        <w:pStyle w:val="Heading2"/>
        <w:spacing w:before="280" w:after="160"/>
      </w:pPr>
      <w:r>
        <w:rPr>
          <w:rFonts w:ascii="Arial" w:cs="Arial" w:eastAsia="Arial" w:hAnsi="Arial"/>
          <w:b/>
          <w:bCs/>
          <w:color w:val="2E75B6"/>
          <w:sz w:val="26"/>
          <w:szCs w:val="26"/>
        </w:rPr>
        <w:t xml:space="preserve">4.1 The ACE Folder Framework</w:t>
      </w:r>
    </w:p>
    <w:p>
      <w:pPr>
        <w:spacing w:after="160" w:line="312"/>
        <w:jc w:val="both"/>
      </w:pPr>
      <w:r>
        <w:rPr>
          <w:rFonts w:ascii="Arial" w:cs="Arial" w:eastAsia="Arial" w:hAnsi="Arial"/>
          <w:color w:val="333333"/>
          <w:sz w:val="22"/>
          <w:szCs w:val="22"/>
        </w:rPr>
        <w:t xml:space="preserve">ACE is Nick Milo’s organizational system, but it is far more than a folder structure. It represents three fundamental headspaces—the cognitive modes in which human beings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Headspace</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Atlas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Knowledge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Ideas, people, sources, and Maps of Content (MOCs). Things that matter for their own sake—not as tasks to complete, but as knowledge to grow.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Calendar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Time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Daily notes, journals, logs, and periodic reviews. Everything that is anchored to a specific moment in time.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Efforts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Projects, areas of responsibility, and written works. Organized by intensity (On, Ongoing, Simmering, Sleeping) rather than rigid project categories.</w:t>
            </w:r>
          </w:p>
        </w:tc>
      </w:tr>
    </w:tbl>
    <w:p>
      <w:pPr>
        <w:spacing w:after="80"/>
      </w:pPr>
    </w:p>
    <w:p>
      <w:pPr>
        <w:spacing w:after="160" w:line="312"/>
        <w:jc w:val="both"/>
      </w:pPr>
      <w:r>
        <w:rPr>
          <w:rFonts w:ascii="Arial" w:cs="Arial" w:eastAsia="Arial" w:hAnsi="Arial"/>
          <w:color w:val="333333"/>
          <w:sz w:val="22"/>
          <w:szCs w:val="22"/>
        </w:rPr>
        <w:t xml:space="preserve">Two additional folders complete the system: + (Plus) serves as an inbox for new, unprocessed notes, and X holds metadata support files such as templates, images, and PDFs.</w:t>
      </w:r>
    </w:p>
    <w:p>
      <w:pPr>
        <w:pStyle w:val="Heading2"/>
        <w:spacing w:before="280" w:after="160"/>
      </w:pPr>
      <w:r>
        <w:rPr>
          <w:rFonts w:ascii="Arial" w:cs="Arial" w:eastAsia="Arial" w:hAnsi="Arial"/>
          <w:b/>
          <w:bCs/>
          <w:color w:val="2E75B6"/>
          <w:sz w:val="26"/>
          <w:szCs w:val="26"/>
        </w:rPr>
        <w:t xml:space="preserve">4.2 The ARC Workflow</w:t>
      </w:r>
    </w:p>
    <w:p>
      <w:pPr>
        <w:spacing w:after="160" w:line="312"/>
        <w:jc w:val="both"/>
      </w:pPr>
      <w:r>
        <w:rPr>
          <w:rFonts w:ascii="Arial" w:cs="Arial" w:eastAsia="Arial" w:hAnsi="Arial"/>
          <w:color w:val="333333"/>
          <w:sz w:val="22"/>
          <w:szCs w:val="22"/>
        </w:rPr>
        <w:t xml:space="preserve">ARC (Add, Relate, Communicate) describes the creative sense-making process—how ideas move from raw capture to published output:</w:t>
      </w:r>
    </w:p>
    <w:p>
      <w:pPr>
        <w:pStyle w:val="ListParagraph"/>
        <w:numPr>
          <w:ilvl w:val="0"/>
          <w:numId w:val="2"/>
        </w:numPr>
        <w:spacing w:after="80" w:line="312"/>
      </w:pPr>
      <w:r>
        <w:rPr>
          <w:rFonts w:ascii="Arial" w:cs="Arial" w:eastAsia="Arial" w:hAnsi="Arial"/>
          <w:b/>
          <w:bCs/>
          <w:color w:val="1B3A5C"/>
          <w:sz w:val="22"/>
          <w:szCs w:val="22"/>
        </w:rPr>
        <w:t xml:space="preserve">Add: </w:t>
      </w:r>
      <w:r>
        <w:rPr>
          <w:rFonts w:ascii="Arial" w:cs="Arial" w:eastAsia="Arial" w:hAnsi="Arial"/>
          <w:color w:val="333333"/>
          <w:sz w:val="22"/>
          <w:szCs w:val="22"/>
        </w:rPr>
        <w:t xml:space="preserve">Consuming, collecting, capturing, and highlighting. This is the note-taking phase, where most people spend over 50% of their time.</w:t>
      </w:r>
    </w:p>
    <w:p>
      <w:pPr>
        <w:pStyle w:val="ListParagraph"/>
        <w:numPr>
          <w:ilvl w:val="0"/>
          <w:numId w:val="2"/>
        </w:numPr>
        <w:spacing w:after="80" w:line="312"/>
      </w:pPr>
      <w:r>
        <w:rPr>
          <w:rFonts w:ascii="Arial" w:cs="Arial" w:eastAsia="Arial" w:hAnsi="Arial"/>
          <w:b/>
          <w:bCs/>
          <w:color w:val="1B3A5C"/>
          <w:sz w:val="22"/>
          <w:szCs w:val="22"/>
        </w:rPr>
        <w:t xml:space="preserve">Relate: </w:t>
      </w:r>
      <w:r>
        <w:rPr>
          <w:rFonts w:ascii="Arial" w:cs="Arial" w:eastAsia="Arial" w:hAnsi="Arial"/>
          <w:color w:val="333333"/>
          <w:sz w:val="22"/>
          <w:szCs w:val="22"/>
        </w:rPr>
        <w:t xml:space="preserve">Contextualizing, interacting with, clarifying, and colliding ideas. This is the note-making phase—the critical middle step where most people are weakest. It is here that MOCs are created and Idea Emergence occurs.</w:t>
      </w:r>
    </w:p>
    <w:p>
      <w:pPr>
        <w:pStyle w:val="ListParagraph"/>
        <w:numPr>
          <w:ilvl w:val="0"/>
          <w:numId w:val="2"/>
        </w:numPr>
        <w:spacing w:after="80" w:line="312"/>
      </w:pPr>
      <w:r>
        <w:rPr>
          <w:rFonts w:ascii="Arial" w:cs="Arial" w:eastAsia="Arial" w:hAnsi="Arial"/>
          <w:b/>
          <w:bCs/>
          <w:color w:val="1B3A5C"/>
          <w:sz w:val="22"/>
          <w:szCs w:val="22"/>
        </w:rPr>
        <w:t xml:space="preserve">Communicate: </w:t>
      </w:r>
      <w:r>
        <w:rPr>
          <w:rFonts w:ascii="Arial" w:cs="Arial" w:eastAsia="Arial" w:hAnsi="Arial"/>
          <w:color w:val="333333"/>
          <w:sz w:val="22"/>
          <w:szCs w:val="22"/>
        </w:rPr>
        <w:t xml:space="preserve">Transforming, generating, and publishing. This is where connected ideas become articles, presentations, decisions, or creative works.</w:t>
      </w:r>
    </w:p>
    <w:p>
      <w:pPr>
        <w:pStyle w:val="Heading2"/>
        <w:spacing w:before="280" w:after="160"/>
      </w:pPr>
      <w:r>
        <w:rPr>
          <w:rFonts w:ascii="Arial" w:cs="Arial" w:eastAsia="Arial" w:hAnsi="Arial"/>
          <w:b/>
          <w:bCs/>
          <w:color w:val="2E75B6"/>
          <w:sz w:val="26"/>
          <w:szCs w:val="26"/>
        </w:rPr>
        <w:t xml:space="preserve">4.3 Maps of Content (MOCs)</w:t>
      </w:r>
    </w:p>
    <w:p>
      <w:pPr>
        <w:spacing w:after="160" w:line="312"/>
        <w:jc w:val="both"/>
      </w:pPr>
      <w:r>
        <w:rPr>
          <w:rFonts w:ascii="Arial" w:cs="Arial" w:eastAsia="Arial" w:hAnsi="Arial"/>
          <w:color w:val="333333"/>
          <w:sz w:val="22"/>
          <w:szCs w:val="22"/>
        </w:rPr>
        <w:t xml:space="preserve">The Map of Content is Nick Milo’s signature contribution to the PKM field. A MOC is a note that primarily contains links to other notes, thereby “mapping” a topic, question, or area of interest. MOCs are not static folders—they are dynamic thinking workbenches that evolve as you add more notes and connections.</w:t>
      </w:r>
    </w:p>
    <w:p>
      <w:pPr>
        <w:spacing w:after="160" w:line="312"/>
        <w:jc w:val="both"/>
      </w:pPr>
      <w:r>
        <w:rPr>
          <w:rFonts w:ascii="Arial" w:cs="Arial" w:eastAsia="Arial" w:hAnsi="Arial"/>
          <w:color w:val="333333"/>
          <w:sz w:val="22"/>
          <w:szCs w:val="22"/>
        </w:rPr>
        <w:t xml:space="preserve">Key properties of MOCs include: they are non-exclusive (a note can appear in multiple MOCs), they leverage proximity (the deliberate positioning of notes relative to each other), and they function simultaneously as tag-like groupings and folder-like containers—without the limitations of either. MOCs are the engine room of Idea Emergence.</w:t>
      </w:r>
    </w:p>
    <w:p>
      <w:pPr>
        <w:pStyle w:val="Heading2"/>
        <w:spacing w:before="280" w:after="160"/>
      </w:pPr>
      <w:r>
        <w:rPr>
          <w:rFonts w:ascii="Arial" w:cs="Arial" w:eastAsia="Arial" w:hAnsi="Arial"/>
          <w:b/>
          <w:bCs/>
          <w:color w:val="2E75B6"/>
          <w:sz w:val="26"/>
          <w:szCs w:val="26"/>
        </w:rPr>
        <w:t xml:space="preserve">4.4 Idea Emergence</w:t>
      </w:r>
    </w:p>
    <w:p>
      <w:pPr>
        <w:spacing w:after="160" w:line="312"/>
        <w:jc w:val="both"/>
      </w:pPr>
      <w:r>
        <w:rPr>
          <w:rFonts w:ascii="Arial" w:cs="Arial" w:eastAsia="Arial" w:hAnsi="Arial"/>
          <w:color w:val="333333"/>
          <w:sz w:val="22"/>
          <w:szCs w:val="22"/>
        </w:rPr>
        <w:t xml:space="preserve">Idea Emergence is perhaps Nick Milo’s most important theoretical contribution. Introduced in 2020, it describes five levels through which ideas grow in richness and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Capture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Moving ideas from the “primordial idea soup” into external notes. From nothingness to somethingness.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Linking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Connecting individual notes to each other, creating a living network. A “forest of notes” begins to form.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Pulling related notes into a Map of Content—a dedicated collision space. Synthesis emerges from clustered ideas.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MOC Networks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Connecting MOCs to other MOCs. Higher-order networks form, making new output almost effortless.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Polished deliverables: essays, articles, books, decisions. By this stage, 80% of the intellectual work is already done.</w:t>
            </w:r>
          </w:p>
        </w:tc>
      </w:tr>
    </w:tbl>
    <w:p>
      <w:pPr>
        <w:spacing w:after="80"/>
      </w:pPr>
    </w:p>
    <w:p>
      <w:pPr>
        <w:spacing w:after="160" w:line="312"/>
        <w:jc w:val="both"/>
      </w:pPr>
      <w:r>
        <w:rPr>
          <w:rFonts w:ascii="Arial" w:cs="Arial" w:eastAsia="Arial" w:hAnsi="Arial"/>
          <w:color w:val="333333"/>
          <w:sz w:val="22"/>
          <w:szCs w:val="22"/>
        </w:rPr>
        <w:t xml:space="preserve">This model represents what Nick calls “middle-out thinking”—focusing on the MOC level as the core creation space rather than relying solely on rigid top-down hierarchies or chaotic bottom-up accumulation.</w:t>
      </w:r>
    </w:p>
    <w:p>
      <w:pPr>
        <w:pStyle w:val="Heading2"/>
        <w:spacing w:before="280" w:after="160"/>
      </w:pPr>
      <w:r>
        <w:rPr>
          <w:rFonts w:ascii="Arial" w:cs="Arial" w:eastAsia="Arial" w:hAnsi="Arial"/>
          <w:b/>
          <w:bCs/>
          <w:color w:val="2E75B6"/>
          <w:sz w:val="26"/>
          <w:szCs w:val="26"/>
        </w:rPr>
        <w:t xml:space="preserve">4.5 The Ideaverse</w:t>
      </w:r>
    </w:p>
    <w:p>
      <w:pPr>
        <w:spacing w:after="160" w:line="312"/>
        <w:jc w:val="both"/>
      </w:pPr>
      <w:r>
        <w:rPr>
          <w:rFonts w:ascii="Arial" w:cs="Arial" w:eastAsia="Arial" w:hAnsi="Arial"/>
          <w:color w:val="333333"/>
          <w:sz w:val="22"/>
          <w:szCs w:val="22"/>
        </w:rPr>
        <w:t xml:space="preserve">The Ideaverse is the entire universe of ideas that exists between you and every place you think. Drawing from Andy Clark and David Chalmers’ “Extended Mind” thesis (1998) and Annie Murphy Paul’s book of the same name (2021), the Ideaverse encompasses not just your digital notes but your physical environment, your conversations, your body, and your memory. It is the philosophical umbrella under which all LYT frameworks operate.</w:t>
      </w:r>
    </w:p>
    <w:p>
      <w:r>
        <w:br w:type="page"/>
      </w:r>
    </w:p>
    <w:p>
      <w:pPr>
        <w:pStyle w:val="Heading1"/>
        <w:spacing w:before="360" w:after="200"/>
      </w:pPr>
      <w:r>
        <w:rPr>
          <w:rFonts w:ascii="Arial" w:cs="Arial" w:eastAsia="Arial" w:hAnsi="Arial"/>
          <w:b/>
          <w:bCs/>
          <w:color w:val="1B3A5C"/>
          <w:sz w:val="32"/>
          <w:szCs w:val="32"/>
        </w:rPr>
        <w:t xml:space="preserve">5. Philosophical Comparison: Where They Align and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ICOR® (Tom Solid)</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LYT (Nick Milo)</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Core metaphor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 production pipeline: information flows through stages toward actionable output.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 living ecosystem: ideas grow, connect, and emerge through organic linking.</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Primary question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“What do I do with this information?”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“How does this idea connect to what I already know?”</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Organization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Four Quadrants (PKM, BKM, PPM, BPM) with tool-stack mapping.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ACE (Atlas, Calendar, Efforts) with MOCs and linked notes.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Workflow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Input → Control → Output → Refine (linear-cyclical).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Add → Relate → Communicate (emphasis on the middle).</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Tool philosophy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Tool-agnostic with explicit tool-stack auditing (Core/Satellite/Utility).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Tool-agnostic in principle; deeply demonstrated through Obsidian.</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Scope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End-to-end productivity: notes, tasks, projects, automation, teams.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Knowledge and idea management: notes, thinking, creativity, writing.</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Audience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Busy professionals, corporate teams, project managers.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Researchers, writers, creators, lifelong learners.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Thinking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Shallow vs. Deep Thinking (Tana for shallow, Heptabase for deep).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Idea Emergence (five levels from capture to MOC networks to output).</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Continuous improvement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Refine stage: system-level optimization, automation, redundancy removal.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Evergreen notes, periodic reviews, re-linking and MOC evolution.</w:t>
            </w:r>
          </w:p>
        </w:tc>
      </w:tr>
    </w:tbl>
    <w:p>
      <w:pPr>
        <w:spacing w:after="200"/>
      </w:pPr>
    </w:p>
    <w:p>
      <w:pPr>
        <w:spacing w:after="160" w:line="312"/>
        <w:jc w:val="both"/>
      </w:pPr>
      <w:r>
        <w:rPr>
          <w:rFonts w:ascii="Arial" w:cs="Arial" w:eastAsia="Arial" w:hAnsi="Arial"/>
          <w:color w:val="333333"/>
          <w:sz w:val="22"/>
          <w:szCs w:val="22"/>
        </w:rPr>
        <w:t xml:space="preserve">The comparison reveals a fundamental complementarity. ICOR® answers the question of operational flow: how does information move through my life and work? LYT answers the question of cognitive depth: how do my ideas develop and interconnect? A system that only has flow without depth becomes a conveyor belt of shallow tasks. A system that only has depth without flow becomes a beautiful but stagnant library. The unified model addresses both.</w:t>
      </w:r>
    </w:p>
    <w:p>
      <w:r>
        <w:br w:type="page"/>
      </w:r>
    </w:p>
    <w:p>
      <w:pPr>
        <w:pStyle w:val="Heading1"/>
        <w:spacing w:before="360" w:after="200"/>
      </w:pPr>
      <w:r>
        <w:rPr>
          <w:rFonts w:ascii="Arial" w:cs="Arial" w:eastAsia="Arial" w:hAnsi="Arial"/>
          <w:b/>
          <w:bCs/>
          <w:color w:val="1B3A5C"/>
          <w:sz w:val="32"/>
          <w:szCs w:val="32"/>
        </w:rPr>
        <w:t xml:space="preserve">6. The Unified Model: ICOR × LYT</w:t>
      </w:r>
    </w:p>
    <w:p>
      <w:pPr>
        <w:spacing w:after="160" w:line="312"/>
        <w:jc w:val="both"/>
      </w:pPr>
      <w:r>
        <w:rPr>
          <w:rFonts w:ascii="Arial" w:cs="Arial" w:eastAsia="Arial" w:hAnsi="Arial"/>
          <w:color w:val="333333"/>
          <w:sz w:val="22"/>
          <w:szCs w:val="22"/>
        </w:rPr>
        <w:t xml:space="preserve">The central thesis of this paper is that ICOR® and LYT can be merged into a single, coherent PKM operating system. The unified model preserves the strengths of both without forcing either to abandon its core principles. It operates on two axes:</w:t>
      </w:r>
    </w:p>
    <w:p>
      <w:pPr>
        <w:pStyle w:val="ListParagraph"/>
        <w:numPr>
          <w:ilvl w:val="0"/>
          <w:numId w:val="2"/>
        </w:numPr>
        <w:spacing w:after="80" w:line="312"/>
      </w:pPr>
      <w:r>
        <w:rPr>
          <w:rFonts w:ascii="Arial" w:cs="Arial" w:eastAsia="Arial" w:hAnsi="Arial"/>
          <w:b/>
          <w:bCs/>
          <w:color w:val="1B3A5C"/>
          <w:sz w:val="22"/>
          <w:szCs w:val="22"/>
        </w:rPr>
        <w:t xml:space="preserve">The Horizontal Axis (ICOR®): </w:t>
      </w:r>
      <w:r>
        <w:rPr>
          <w:rFonts w:ascii="Arial" w:cs="Arial" w:eastAsia="Arial" w:hAnsi="Arial"/>
          <w:color w:val="333333"/>
          <w:sz w:val="22"/>
          <w:szCs w:val="22"/>
        </w:rPr>
        <w:t xml:space="preserve">The operational lifecycle. Information flows from Input through Control and Output to Refine. This is the temporal dimension—how work moves forward.</w:t>
      </w:r>
    </w:p>
    <w:p>
      <w:pPr>
        <w:pStyle w:val="ListParagraph"/>
        <w:numPr>
          <w:ilvl w:val="0"/>
          <w:numId w:val="2"/>
        </w:numPr>
        <w:spacing w:after="80" w:line="312"/>
      </w:pPr>
      <w:r>
        <w:rPr>
          <w:rFonts w:ascii="Arial" w:cs="Arial" w:eastAsia="Arial" w:hAnsi="Arial"/>
          <w:b/>
          <w:bCs/>
          <w:color w:val="1B3A5C"/>
          <w:sz w:val="22"/>
          <w:szCs w:val="22"/>
        </w:rPr>
        <w:t xml:space="preserve">The Vertical Axis (LYT): </w:t>
      </w:r>
      <w:r>
        <w:rPr>
          <w:rFonts w:ascii="Arial" w:cs="Arial" w:eastAsia="Arial" w:hAnsi="Arial"/>
          <w:color w:val="333333"/>
          <w:sz w:val="22"/>
          <w:szCs w:val="22"/>
        </w:rPr>
        <w:t xml:space="preserve">The cognitive depth dimension. Ideas move from raw capture (Level 1) upward through linking, MOC creation, MOC networking, and finally output (Level 5). This is the depth dimension—how understanding deepens.</w:t>
      </w:r>
    </w:p>
    <w:p>
      <w:pPr>
        <w:spacing w:after="80"/>
      </w:pPr>
    </w:p>
    <w:p>
      <w:pPr>
        <w:spacing w:after="160" w:line="312"/>
        <w:jc w:val="both"/>
      </w:pPr>
      <w:r>
        <w:rPr>
          <w:rFonts w:ascii="Arial" w:cs="Arial" w:eastAsia="Arial" w:hAnsi="Arial"/>
          <w:color w:val="333333"/>
          <w:sz w:val="22"/>
          <w:szCs w:val="22"/>
        </w:rPr>
        <w:t xml:space="preserve">At any given moment, a knowledge worker is operating at a specific point on both axes simultaneously. They might be in the Input stage (horizontal) at a shallow capture level (vertical), or in the Control stage while performing deep MOC-level synthesis. The unified model provides a complete coordinate system for locating and optimizing any knowledge activity.</w:t>
      </w:r>
    </w:p>
    <w:p>
      <w:pPr>
        <w:spacing w:after="160" w:line="312"/>
        <w:ind w:left="360" w:right="360"/>
      </w:pPr>
      <w:r>
        <w:rPr>
          <w:rFonts w:ascii="Arial" w:cs="Arial" w:eastAsia="Arial" w:hAnsi="Arial"/>
          <w:i/>
          <w:iCs/>
          <w:color w:val="888888"/>
          <w:sz w:val="21"/>
          <w:szCs w:val="21"/>
        </w:rPr>
        <w:t xml:space="preserve">Metaphor: If ICOR® is the river that carries your information from source to sea, LYT is the geological depth of the riverbed—the layers of sediment, rock, and mineral that give the water its character and richness. You need both the flow and the depth.</w:t>
      </w:r>
    </w:p>
    <w:p>
      <w:r>
        <w:br w:type="page"/>
      </w:r>
    </w:p>
    <w:p>
      <w:pPr>
        <w:pStyle w:val="Heading1"/>
        <w:spacing w:before="360" w:after="200"/>
      </w:pPr>
      <w:r>
        <w:rPr>
          <w:rFonts w:ascii="Arial" w:cs="Arial" w:eastAsia="Arial" w:hAnsi="Arial"/>
          <w:b/>
          <w:bCs/>
          <w:color w:val="1B3A5C"/>
          <w:sz w:val="32"/>
          <w:szCs w:val="32"/>
        </w:rPr>
        <w:t xml:space="preserve">7. Unified Architecture: ACE Meets the Four Quadrants</w:t>
      </w:r>
    </w:p>
    <w:p>
      <w:pPr>
        <w:spacing w:after="160" w:line="312"/>
        <w:jc w:val="both"/>
      </w:pPr>
      <w:r>
        <w:rPr>
          <w:rFonts w:ascii="Arial" w:cs="Arial" w:eastAsia="Arial" w:hAnsi="Arial"/>
          <w:color w:val="333333"/>
          <w:sz w:val="22"/>
          <w:szCs w:val="22"/>
        </w:rPr>
        <w:t xml:space="preserve">The organizational structures of ICOR® (Four Quadrants) and LYT (ACE) can be harmonized into a single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ACE Headspace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ICOR® Mapping</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Lives Here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Behaviors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Atlas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PKM + BKM (Knowledge quadrants)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MOCs, atomic notes, evergreen notes, source notes, people notes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Linking, MOC creation, Idea Emergence, deep thinking</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Calendar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Input + Refine (temporal dimension)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Daily notes, meeting logs, journals, periodic reviews, retrospectives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Capturing, reflecting, reviewing, refining the system</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Efforts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PPM + BPM (Project quadrants)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Active projects, ongoing areas, simmering ideas, sleeping archives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Task execution, project management, Output and delivery</w:t>
            </w:r>
          </w:p>
        </w:tc>
      </w:tr>
    </w:tbl>
    <w:p>
      <w:pPr>
        <w:spacing w:after="120"/>
      </w:pPr>
    </w:p>
    <w:p>
      <w:pPr>
        <w:spacing w:after="160" w:line="312"/>
        <w:jc w:val="both"/>
      </w:pPr>
      <w:r>
        <w:rPr>
          <w:rFonts w:ascii="Arial" w:cs="Arial" w:eastAsia="Arial" w:hAnsi="Arial"/>
          <w:color w:val="333333"/>
          <w:sz w:val="22"/>
          <w:szCs w:val="22"/>
        </w:rPr>
        <w:t xml:space="preserve">This mapping is elegant because it preserves the cognitive clarity of ACE (three headspaces for three modes of thinking) while embedding the operational precision of ICOR® (four quadrants ensuring that both personal and business dimensions are served). The key insight is:</w:t>
      </w:r>
    </w:p>
    <w:p>
      <w:pPr>
        <w:pStyle w:val="ListParagraph"/>
        <w:numPr>
          <w:ilvl w:val="0"/>
          <w:numId w:val="2"/>
        </w:numPr>
        <w:spacing w:after="80" w:line="312"/>
      </w:pPr>
      <w:r>
        <w:rPr>
          <w:rFonts w:ascii="Arial" w:cs="Arial" w:eastAsia="Arial" w:hAnsi="Arial"/>
          <w:b/>
          <w:bCs/>
          <w:color w:val="1B3A5C"/>
          <w:sz w:val="22"/>
          <w:szCs w:val="22"/>
        </w:rPr>
        <w:t xml:space="preserve">Atlas is where ICOR®’s Control stage performs its deepest work, </w:t>
      </w:r>
      <w:r>
        <w:rPr>
          <w:rFonts w:ascii="Arial" w:cs="Arial" w:eastAsia="Arial" w:hAnsi="Arial"/>
          <w:color w:val="333333"/>
          <w:sz w:val="22"/>
          <w:szCs w:val="22"/>
        </w:rPr>
        <w:t xml:space="preserve">transforming raw information into organized, linked knowledge using LYT’s MOC methodology.</w:t>
      </w:r>
    </w:p>
    <w:p>
      <w:pPr>
        <w:pStyle w:val="ListParagraph"/>
        <w:numPr>
          <w:ilvl w:val="0"/>
          <w:numId w:val="2"/>
        </w:numPr>
        <w:spacing w:after="80" w:line="312"/>
      </w:pPr>
      <w:r>
        <w:rPr>
          <w:rFonts w:ascii="Arial" w:cs="Arial" w:eastAsia="Arial" w:hAnsi="Arial"/>
          <w:b/>
          <w:bCs/>
          <w:color w:val="1B3A5C"/>
          <w:sz w:val="22"/>
          <w:szCs w:val="22"/>
        </w:rPr>
        <w:t xml:space="preserve">Calendar is the temporal backbone that both ICOR®’s Input and Refine stages depend on, </w:t>
      </w:r>
      <w:r>
        <w:rPr>
          <w:rFonts w:ascii="Arial" w:cs="Arial" w:eastAsia="Arial" w:hAnsi="Arial"/>
          <w:color w:val="333333"/>
          <w:sz w:val="22"/>
          <w:szCs w:val="22"/>
        </w:rPr>
        <w:t xml:space="preserve">serving as the daily capture point and the periodic review mechanism.</w:t>
      </w:r>
    </w:p>
    <w:p>
      <w:pPr>
        <w:pStyle w:val="ListParagraph"/>
        <w:numPr>
          <w:ilvl w:val="0"/>
          <w:numId w:val="2"/>
        </w:numPr>
        <w:spacing w:after="80" w:line="312"/>
      </w:pPr>
      <w:r>
        <w:rPr>
          <w:rFonts w:ascii="Arial" w:cs="Arial" w:eastAsia="Arial" w:hAnsi="Arial"/>
          <w:b/>
          <w:bCs/>
          <w:color w:val="1B3A5C"/>
          <w:sz w:val="22"/>
          <w:szCs w:val="22"/>
        </w:rPr>
        <w:t xml:space="preserve">Efforts is the execution arena where ICOR®’s Output stage lives, </w:t>
      </w:r>
      <w:r>
        <w:rPr>
          <w:rFonts w:ascii="Arial" w:cs="Arial" w:eastAsia="Arial" w:hAnsi="Arial"/>
          <w:color w:val="333333"/>
          <w:sz w:val="22"/>
          <w:szCs w:val="22"/>
        </w:rPr>
        <w:t xml:space="preserve">powered by LYT’s intensity-based organization (On, Ongoing, Simmering, Sleeping) rather than rigid project hierarchies.</w:t>
      </w:r>
    </w:p>
    <w:p>
      <w:r>
        <w:br w:type="page"/>
      </w:r>
    </w:p>
    <w:p>
      <w:pPr>
        <w:pStyle w:val="Heading1"/>
        <w:spacing w:before="360" w:after="200"/>
      </w:pPr>
      <w:r>
        <w:rPr>
          <w:rFonts w:ascii="Arial" w:cs="Arial" w:eastAsia="Arial" w:hAnsi="Arial"/>
          <w:b/>
          <w:bCs/>
          <w:color w:val="1B3A5C"/>
          <w:sz w:val="32"/>
          <w:szCs w:val="32"/>
        </w:rPr>
        <w:t xml:space="preserve">8. Unified Workflow: ARC Meets the ICOR Pipeline</w:t>
      </w:r>
    </w:p>
    <w:p>
      <w:pPr>
        <w:spacing w:after="160" w:line="312"/>
        <w:jc w:val="both"/>
      </w:pPr>
      <w:r>
        <w:rPr>
          <w:rFonts w:ascii="Arial" w:cs="Arial" w:eastAsia="Arial" w:hAnsi="Arial"/>
          <w:color w:val="333333"/>
          <w:sz w:val="22"/>
          <w:szCs w:val="22"/>
        </w:rPr>
        <w:t xml:space="preserve">The workflow models of ICOR® and LYT can be layered into a single process that captures both the operational flow and the cognitive depth at each stage:</w:t>
      </w:r>
    </w:p>
    <w:p>
      <w:pPr>
        <w:pStyle w:val="Heading2"/>
        <w:spacing w:before="280" w:after="160"/>
      </w:pPr>
      <w:r>
        <w:rPr>
          <w:rFonts w:ascii="Arial" w:cs="Arial" w:eastAsia="Arial" w:hAnsi="Arial"/>
          <w:b/>
          <w:bCs/>
          <w:color w:val="2E75B6"/>
          <w:sz w:val="26"/>
          <w:szCs w:val="26"/>
        </w:rPr>
        <w:t xml:space="preserve">Stage 1: Capture (ICOR Input + ARC Add)</w:t>
      </w:r>
    </w:p>
    <w:p>
      <w:pPr>
        <w:spacing w:after="160" w:line="312"/>
        <w:jc w:val="both"/>
      </w:pPr>
      <w:r>
        <w:rPr>
          <w:rFonts w:ascii="Arial" w:cs="Arial" w:eastAsia="Arial" w:hAnsi="Arial"/>
          <w:color w:val="333333"/>
          <w:sz w:val="22"/>
          <w:szCs w:val="22"/>
        </w:rPr>
        <w:t xml:space="preserve">Information enters your system from the Outer World (articles, emails, meetings, conversations) and the Inner World (reflections, brainstorms, ideas). The unified approach applies ICOR®’s discipline of intentional capture with LYT’s practice of daily notes as an inbox. Every captured item is placed in the + (Plus) inbox folder and tagged with its origin (inner/outer) and its likely destination quadrant (PKM, BKM, PPM, or BPM).</w:t>
      </w:r>
    </w:p>
    <w:p>
      <w:pPr>
        <w:spacing w:after="160" w:line="312"/>
        <w:ind w:left="360" w:right="360"/>
      </w:pPr>
      <w:r>
        <w:rPr>
          <w:rFonts w:ascii="Arial" w:cs="Arial" w:eastAsia="Arial" w:hAnsi="Arial"/>
          <w:i/>
          <w:iCs/>
          <w:color w:val="888888"/>
          <w:sz w:val="21"/>
          <w:szCs w:val="21"/>
        </w:rPr>
        <w:t xml:space="preserve">ICOR® supplies the routing discipline (“Where does this belong?”). LYT supplies the capture surface (daily notes, quick notes, fleeting thoughts).</w:t>
      </w:r>
    </w:p>
    <w:p>
      <w:pPr>
        <w:pStyle w:val="Heading2"/>
        <w:spacing w:before="280" w:after="160"/>
      </w:pPr>
      <w:r>
        <w:rPr>
          <w:rFonts w:ascii="Arial" w:cs="Arial" w:eastAsia="Arial" w:hAnsi="Arial"/>
          <w:b/>
          <w:bCs/>
          <w:color w:val="2E75B6"/>
          <w:sz w:val="26"/>
          <w:szCs w:val="26"/>
        </w:rPr>
        <w:t xml:space="preserve">Stage 2: Process (ICOR Control + ARC Relate)</w:t>
      </w:r>
    </w:p>
    <w:p>
      <w:pPr>
        <w:spacing w:after="160" w:line="312"/>
        <w:jc w:val="both"/>
      </w:pPr>
      <w:r>
        <w:rPr>
          <w:rFonts w:ascii="Arial" w:cs="Arial" w:eastAsia="Arial" w:hAnsi="Arial"/>
          <w:color w:val="333333"/>
          <w:sz w:val="22"/>
          <w:szCs w:val="22"/>
        </w:rPr>
        <w:t xml:space="preserve">This is the critical fusion point—and the stage where most knowledge workers are weakest. ICOR®’s Control stage transforms raw inputs into organized knowledge and actionable tasks. LYT’s Relate phase deepens this by requiring you to not just sort information, but to link it to existing knowledge, create atomic notes, build MOCs, and allow Idea Emergence to occur.</w:t>
      </w:r>
    </w:p>
    <w:p>
      <w:pPr>
        <w:spacing w:after="160" w:line="312"/>
        <w:jc w:val="both"/>
      </w:pPr>
      <w:r>
        <w:rPr>
          <w:rFonts w:ascii="Arial" w:cs="Arial" w:eastAsia="Arial" w:hAnsi="Arial"/>
          <w:color w:val="333333"/>
          <w:sz w:val="22"/>
          <w:szCs w:val="22"/>
        </w:rPr>
        <w:t xml:space="preserve">In practical terms, the unified Process stage involves: reviewing inbox items; deciding whether each item is knowledge (route to Atlas) or action (route to Efforts); for knowledge items, creating or updating atomic notes and linking them to relevant MOCs; for action items, creating tasks within the appropriate quadrant (personal or business); and for ambiguous items, allowing them to “simmer” in the Efforts folder at a low intensity level until clarity emerges.</w:t>
      </w:r>
    </w:p>
    <w:p>
      <w:pPr>
        <w:spacing w:after="160" w:line="312"/>
        <w:jc w:val="both"/>
      </w:pPr>
      <w:r>
        <w:rPr>
          <w:rFonts w:ascii="Arial" w:cs="Arial" w:eastAsia="Arial" w:hAnsi="Arial"/>
          <w:color w:val="333333"/>
          <w:sz w:val="22"/>
          <w:szCs w:val="22"/>
        </w:rPr>
        <w:t xml:space="preserve">The ICOR® concept of Shallow vs. Deep Thinking maps directly onto this stage: shallow processing (quick categorization, tagging, simple linking) handles routine inputs, while deep processing (MOC creation, extended writing, synthesis) handles complex or high-value inputs.</w:t>
      </w:r>
    </w:p>
    <w:p>
      <w:pPr>
        <w:pStyle w:val="Heading2"/>
        <w:spacing w:before="280" w:after="160"/>
      </w:pPr>
      <w:r>
        <w:rPr>
          <w:rFonts w:ascii="Arial" w:cs="Arial" w:eastAsia="Arial" w:hAnsi="Arial"/>
          <w:b/>
          <w:bCs/>
          <w:color w:val="2E75B6"/>
          <w:sz w:val="26"/>
          <w:szCs w:val="26"/>
        </w:rPr>
        <w:t xml:space="preserve">Stage 3: Execute (ICOR Output + ARC Communicate)</w:t>
      </w:r>
    </w:p>
    <w:p>
      <w:pPr>
        <w:spacing w:after="160" w:line="312"/>
        <w:jc w:val="both"/>
      </w:pPr>
      <w:r>
        <w:rPr>
          <w:rFonts w:ascii="Arial" w:cs="Arial" w:eastAsia="Arial" w:hAnsi="Arial"/>
          <w:color w:val="333333"/>
          <w:sz w:val="22"/>
          <w:szCs w:val="22"/>
        </w:rPr>
        <w:t xml:space="preserve">Ideas that have matured through the Process stage are now ready for execution. ICOR®’s Output stage drives task completion and project delivery. LYT’s Communicate phase drives the transformation of linked knowledge into published, shared, or applied output. In the unified model, these converge: every deliverable—whether a report, a presentation, a strategic decision, or a creative work—is produced from the rich substrate of connected notes and MOCs. The intellectual heavy lifting was done in Stage 2; Stage 3 is about assembly and delivery.</w:t>
      </w:r>
    </w:p>
    <w:p>
      <w:pPr>
        <w:pStyle w:val="Heading2"/>
        <w:spacing w:before="280" w:after="160"/>
      </w:pPr>
      <w:r>
        <w:rPr>
          <w:rFonts w:ascii="Arial" w:cs="Arial" w:eastAsia="Arial" w:hAnsi="Arial"/>
          <w:b/>
          <w:bCs/>
          <w:color w:val="2E75B6"/>
          <w:sz w:val="26"/>
          <w:szCs w:val="26"/>
        </w:rPr>
        <w:t xml:space="preserve">Stage 4: Evolve (ICOR Refine + LYT Evergreen Practice)</w:t>
      </w:r>
    </w:p>
    <w:p>
      <w:pPr>
        <w:spacing w:after="160" w:line="312"/>
        <w:jc w:val="both"/>
      </w:pPr>
      <w:r>
        <w:rPr>
          <w:rFonts w:ascii="Arial" w:cs="Arial" w:eastAsia="Arial" w:hAnsi="Arial"/>
          <w:color w:val="333333"/>
          <w:sz w:val="22"/>
          <w:szCs w:val="22"/>
        </w:rPr>
        <w:t xml:space="preserve">The final stage closes the loop. ICOR®’s Refine stage audits the system: Are tools overlapping? Are workflows efficient? Can repetitive tasks be automated? LYT’s evergreen practice revisits and enriches existing notes, updates MOCs, and allows the knowledge graph to evolve. The unified Evolve stage combines both: system-level optimization (tool stack, workflows, automation) and knowledge-level cultivation (note gardening, MOC refinement, link maintenance). This stage is powered by periodic reviews anchored in the Calendar headspace—daily, weekly, monthly, quarterly, and annual.</w:t>
      </w:r>
    </w:p>
    <w:p>
      <w:r>
        <w:br w:type="page"/>
      </w:r>
    </w:p>
    <w:p>
      <w:pPr>
        <w:pStyle w:val="Heading1"/>
        <w:spacing w:before="360" w:after="200"/>
      </w:pPr>
      <w:r>
        <w:rPr>
          <w:rFonts w:ascii="Arial" w:cs="Arial" w:eastAsia="Arial" w:hAnsi="Arial"/>
          <w:b/>
          <w:bCs/>
          <w:color w:val="1B3A5C"/>
          <w:sz w:val="32"/>
          <w:szCs w:val="32"/>
        </w:rPr>
        <w:t xml:space="preserve">9. The Unified Tool Stack</w:t>
      </w:r>
    </w:p>
    <w:p>
      <w:pPr>
        <w:spacing w:after="160" w:line="312"/>
        <w:jc w:val="both"/>
      </w:pPr>
      <w:r>
        <w:rPr>
          <w:rFonts w:ascii="Arial" w:cs="Arial" w:eastAsia="Arial" w:hAnsi="Arial"/>
          <w:color w:val="333333"/>
          <w:sz w:val="22"/>
          <w:szCs w:val="22"/>
        </w:rPr>
        <w:t xml:space="preserve">Applying ICOR®’s tool classification (Core/Satellite/Utility) to a system that honors LYT’s linking philosophy, the following tool stack architecture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in Unified System</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Tools</w:t>
            </w:r>
          </w:p>
        </w:tc>
      </w:tr>
      <w:tr>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PKM / Atlas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Primary knowledge base. Linked notes, MOCs, atomic notes, ACE structure. Single Source of Truth for 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Obsidian, Tana, Heptabase, Logseq, Notion</w:t>
            </w:r>
          </w:p>
        </w:tc>
      </w:tr>
      <w:tr>
        <w:tc>
          <w:tcPr>
            <w:tcW w:type="dxa" w:w="1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PPM / Efforts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Task and project management. Execution pipeline. Effort intensity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ClickUp, Todoist, Asana, OmniFocus</w:t>
            </w:r>
          </w:p>
        </w:tc>
      </w:tr>
      <w:t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Satellite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Input / Add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Capture and highlighting from external sources. Read-later functionality.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Readwise, Readwise Reader, MyMind, Raindrop.io</w:t>
            </w:r>
          </w:p>
        </w:tc>
      </w:tr>
      <w:t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Satellite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Deep Thinking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Visual thinking, spatial canvases, extended analysis. Supports the Relate phase.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Heptabase, Obsidian Canvas, Miro, Excalidraw</w:t>
            </w:r>
          </w:p>
        </w:tc>
      </w:tr>
      <w:t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Satellite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Refine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Automation and system optimization. Reduces manual friction.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Zapier, Make, Shortcuts, IFTTT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Utility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Calendar, email, communication, browser. Not system-critical but workflow-enhancing.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Fantastical, Arc Browser, Spark, Slack</w:t>
            </w:r>
          </w:p>
        </w:tc>
      </w:tr>
    </w:tbl>
    <w:p>
      <w:pPr>
        <w:spacing w:after="120"/>
      </w:pPr>
    </w:p>
    <w:p>
      <w:pPr>
        <w:spacing w:after="160" w:line="312"/>
        <w:jc w:val="both"/>
      </w:pPr>
      <w:r>
        <w:rPr>
          <w:rFonts w:ascii="Arial" w:cs="Arial" w:eastAsia="Arial" w:hAnsi="Arial"/>
          <w:color w:val="333333"/>
          <w:sz w:val="22"/>
          <w:szCs w:val="22"/>
        </w:rPr>
        <w:t xml:space="preserve">The critical principle from both philosophies: no single tool should be irreplaceable to the extent that losing it would collapse your system. ICOR®’s tool-stack auditing ensures you regularly assess redundancies. LYT’s plain-text, markdown-based approach (via Obsidian) ensures your knowledge base is format-independent and future-proof. Together, they create a resilient, portable, and evolving tool ecosystem.</w:t>
      </w:r>
    </w:p>
    <w:p>
      <w:r>
        <w:br w:type="page"/>
      </w:r>
    </w:p>
    <w:p>
      <w:pPr>
        <w:pStyle w:val="Heading1"/>
        <w:spacing w:before="360" w:after="200"/>
      </w:pPr>
      <w:r>
        <w:rPr>
          <w:rFonts w:ascii="Arial" w:cs="Arial" w:eastAsia="Arial" w:hAnsi="Arial"/>
          <w:b/>
          <w:bCs/>
          <w:color w:val="1B3A5C"/>
          <w:sz w:val="32"/>
          <w:szCs w:val="32"/>
        </w:rPr>
        <w:t xml:space="preserve">10. The Foundation Layer: Markdown and YAML</w:t>
      </w:r>
    </w:p>
    <w:p>
      <w:pPr>
        <w:spacing w:after="160" w:line="312"/>
        <w:jc w:val="both"/>
      </w:pPr>
      <w:r>
        <w:rPr>
          <w:rFonts w:ascii="Arial" w:cs="Arial" w:eastAsia="Arial" w:hAnsi="Arial"/>
          <w:color w:val="333333"/>
          <w:sz w:val="22"/>
          <w:szCs w:val="22"/>
        </w:rPr>
        <w:t xml:space="preserve">Both ICOR® and LYT are methodology-agnostic about file formats in principle, but in practice, the overwhelming consensus across the PKM community—and the technical foundation that makes both frameworks possible—is built on two open standards: Markdown and YAML. Understanding why these two technologies matter is essential for anyone building a unified PKM system, because they are what make the system future-proof, portable, and genuinely enjoyable to use.</w:t>
      </w:r>
    </w:p>
    <w:p>
      <w:pPr>
        <w:pStyle w:val="Heading2"/>
        <w:spacing w:before="280" w:after="160"/>
      </w:pPr>
      <w:r>
        <w:rPr>
          <w:rFonts w:ascii="Arial" w:cs="Arial" w:eastAsia="Arial" w:hAnsi="Arial"/>
          <w:b/>
          <w:bCs/>
          <w:color w:val="2E75B6"/>
          <w:sz w:val="26"/>
          <w:szCs w:val="26"/>
        </w:rPr>
        <w:t xml:space="preserve">10.1 Markdown: The Universal Language of Knowledge</w:t>
      </w:r>
    </w:p>
    <w:p>
      <w:pPr>
        <w:spacing w:after="160" w:line="312"/>
        <w:jc w:val="both"/>
      </w:pPr>
      <w:r>
        <w:rPr>
          <w:rFonts w:ascii="Arial" w:cs="Arial" w:eastAsia="Arial" w:hAnsi="Arial"/>
          <w:color w:val="333333"/>
          <w:sz w:val="22"/>
          <w:szCs w:val="22"/>
        </w:rPr>
        <w:t xml:space="preserve">Markdown is a lightweight plain-text formatting syntax created by John Gruber in 2004. A Markdown file (.md) is nothing more than a text file with simple conventions: # for headings, ** for bold, [[ ]] for links in tools like Obsidian, and so on. This simplicity is precisely its power.</w:t>
      </w:r>
    </w:p>
    <w:p>
      <w:pPr>
        <w:spacing w:before="200" w:after="120"/>
      </w:pPr>
      <w:r>
        <w:rPr>
          <w:rFonts w:ascii="Arial" w:cs="Arial" w:eastAsia="Arial" w:hAnsi="Arial"/>
          <w:b/>
          <w:bCs/>
          <w:color w:val="1B3A5C"/>
          <w:sz w:val="22"/>
          <w:szCs w:val="22"/>
        </w:rPr>
        <w:t xml:space="preserve">Why Markdown Is the Bedrock of Modern PKM</w:t>
      </w:r>
    </w:p>
    <w:p>
      <w:pPr>
        <w:pStyle w:val="ListParagraph"/>
        <w:numPr>
          <w:ilvl w:val="0"/>
          <w:numId w:val="2"/>
        </w:numPr>
        <w:spacing w:after="80" w:line="312"/>
      </w:pPr>
      <w:r>
        <w:rPr>
          <w:rFonts w:ascii="Arial" w:cs="Arial" w:eastAsia="Arial" w:hAnsi="Arial"/>
          <w:b/>
          <w:bCs/>
          <w:color w:val="1B3A5C"/>
          <w:sz w:val="22"/>
          <w:szCs w:val="22"/>
        </w:rPr>
        <w:t xml:space="preserve">Absolute Ownership: </w:t>
      </w:r>
      <w:r>
        <w:rPr>
          <w:rFonts w:ascii="Arial" w:cs="Arial" w:eastAsia="Arial" w:hAnsi="Arial"/>
          <w:color w:val="333333"/>
          <w:sz w:val="22"/>
          <w:szCs w:val="22"/>
        </w:rPr>
        <w:t xml:space="preserve">Unlike proprietary formats locked inside applications like Notion or Evernote, Markdown files are plain text stored on your own device. You own them completely. No company can revoke access, change pricing, or shut down a service and take your knowledge with it. A .md file written today will be perfectly readable in any text editor in 2085.</w:t>
      </w:r>
    </w:p>
    <w:p>
      <w:pPr>
        <w:pStyle w:val="ListParagraph"/>
        <w:numPr>
          <w:ilvl w:val="0"/>
          <w:numId w:val="2"/>
        </w:numPr>
        <w:spacing w:after="80" w:line="312"/>
      </w:pPr>
      <w:r>
        <w:rPr>
          <w:rFonts w:ascii="Arial" w:cs="Arial" w:eastAsia="Arial" w:hAnsi="Arial"/>
          <w:b/>
          <w:bCs/>
          <w:color w:val="1B3A5C"/>
          <w:sz w:val="22"/>
          <w:szCs w:val="22"/>
        </w:rPr>
        <w:t xml:space="preserve">Zero Vendor Lock-In: </w:t>
      </w:r>
      <w:r>
        <w:rPr>
          <w:rFonts w:ascii="Arial" w:cs="Arial" w:eastAsia="Arial" w:hAnsi="Arial"/>
          <w:color w:val="333333"/>
          <w:sz w:val="22"/>
          <w:szCs w:val="22"/>
        </w:rPr>
        <w:t xml:space="preserve">Because Markdown is an open standard, your notes move freely between applications. You can open them in Obsidian, VS Code, Logseq, iA Writer, or even Notepad. When you inevitably change tools—and every knowledge worker does—your data migrates effortlessly. This aligns perfectly with ICOR®’s philosophy that “life doesn’t depend on a tool” and LYT’s insistence on a future-proof system.</w:t>
      </w:r>
    </w:p>
    <w:p>
      <w:pPr>
        <w:pStyle w:val="ListParagraph"/>
        <w:numPr>
          <w:ilvl w:val="0"/>
          <w:numId w:val="2"/>
        </w:numPr>
        <w:spacing w:after="80" w:line="312"/>
      </w:pPr>
      <w:r>
        <w:rPr>
          <w:rFonts w:ascii="Arial" w:cs="Arial" w:eastAsia="Arial" w:hAnsi="Arial"/>
          <w:b/>
          <w:bCs/>
          <w:color w:val="1B3A5C"/>
          <w:sz w:val="22"/>
          <w:szCs w:val="22"/>
        </w:rPr>
        <w:t xml:space="preserve">Deep Focus Through Simplicity: </w:t>
      </w:r>
      <w:r>
        <w:rPr>
          <w:rFonts w:ascii="Arial" w:cs="Arial" w:eastAsia="Arial" w:hAnsi="Arial"/>
          <w:color w:val="333333"/>
          <w:sz w:val="22"/>
          <w:szCs w:val="22"/>
        </w:rPr>
        <w:t xml:space="preserve">Writing in Markdown is entirely keyboard-driven. There are no distracting menus, toolbars, or formatting palettes. The act of writing becomes a mental organization tool—you structure your thoughts through headings, lists, and links rather than fussing with fonts and colors. Many practitioners report that Markdown helps them think and write more clearly because it forces you to focus on structure and meaning, not presentation.</w:t>
      </w:r>
    </w:p>
    <w:p>
      <w:pPr>
        <w:pStyle w:val="ListParagraph"/>
        <w:numPr>
          <w:ilvl w:val="0"/>
          <w:numId w:val="2"/>
        </w:numPr>
        <w:spacing w:after="80" w:line="312"/>
      </w:pPr>
      <w:r>
        <w:rPr>
          <w:rFonts w:ascii="Arial" w:cs="Arial" w:eastAsia="Arial" w:hAnsi="Arial"/>
          <w:b/>
          <w:bCs/>
          <w:color w:val="1B3A5C"/>
          <w:sz w:val="22"/>
          <w:szCs w:val="22"/>
        </w:rPr>
        <w:t xml:space="preserve">Interoperability With Everything: </w:t>
      </w:r>
      <w:r>
        <w:rPr>
          <w:rFonts w:ascii="Arial" w:cs="Arial" w:eastAsia="Arial" w:hAnsi="Arial"/>
          <w:color w:val="333333"/>
          <w:sz w:val="22"/>
          <w:szCs w:val="22"/>
        </w:rPr>
        <w:t xml:space="preserve">Markdown integrates seamlessly with version control (Git), static site generators (Hugo, Jekyll), documentation systems, and AI tools. In 2026, this has become especially important: AI coding agents like Claude Code can read, write, and transform Markdown files natively, turning your PKM vault into an AI-readable knowledge base that powers personalized assistance.</w:t>
      </w:r>
    </w:p>
    <w:p>
      <w:pPr>
        <w:pStyle w:val="ListParagraph"/>
        <w:numPr>
          <w:ilvl w:val="0"/>
          <w:numId w:val="2"/>
        </w:numPr>
        <w:spacing w:after="80" w:line="312"/>
      </w:pPr>
      <w:r>
        <w:rPr>
          <w:rFonts w:ascii="Arial" w:cs="Arial" w:eastAsia="Arial" w:hAnsi="Arial"/>
          <w:b/>
          <w:bCs/>
          <w:color w:val="1B3A5C"/>
          <w:sz w:val="22"/>
          <w:szCs w:val="22"/>
        </w:rPr>
        <w:t xml:space="preserve">Bidirectional Linking: </w:t>
      </w:r>
      <w:r>
        <w:rPr>
          <w:rFonts w:ascii="Arial" w:cs="Arial" w:eastAsia="Arial" w:hAnsi="Arial"/>
          <w:color w:val="333333"/>
          <w:sz w:val="22"/>
          <w:szCs w:val="22"/>
        </w:rPr>
        <w:t xml:space="preserve">The [[wikilink]] syntax popularized by Obsidian turns plain Markdown files into a graph of interconnected knowledge. Every link creates a backlink automatically, enabling the kind of organic idea emergence that LYT’s framework depends on. This is the technical mechanism that makes MOCs, Idea Emergence, and the entire Relate phase possible.</w:t>
      </w:r>
    </w:p>
    <w:p>
      <w:pPr>
        <w:pStyle w:val="Heading2"/>
        <w:spacing w:before="280" w:after="160"/>
      </w:pPr>
      <w:r>
        <w:rPr>
          <w:rFonts w:ascii="Arial" w:cs="Arial" w:eastAsia="Arial" w:hAnsi="Arial"/>
          <w:b/>
          <w:bCs/>
          <w:color w:val="2E75B6"/>
          <w:sz w:val="26"/>
          <w:szCs w:val="26"/>
        </w:rPr>
        <w:t xml:space="preserve">10.2 YAML Frontmatter: Structured Metadata for Unstructured Thought</w:t>
      </w:r>
    </w:p>
    <w:p>
      <w:pPr>
        <w:spacing w:after="160" w:line="312"/>
        <w:jc w:val="both"/>
      </w:pPr>
      <w:r>
        <w:rPr>
          <w:rFonts w:ascii="Arial" w:cs="Arial" w:eastAsia="Arial" w:hAnsi="Arial"/>
          <w:color w:val="333333"/>
          <w:sz w:val="22"/>
          <w:szCs w:val="22"/>
        </w:rPr>
        <w:t xml:space="preserve">YAML (“YAML Ain’t Markup Language”) is a human-readable data serialization format. In the PKM context, YAML frontmatter is a block of key-value metadata placed at the very top of a Markdown file, enclosed between two lines of triple dashes (---). It provides the structured layer that transforms a flat collection of text files into a queryable, filterable, and automatable knowledge system.</w:t>
      </w:r>
    </w:p>
    <w:p>
      <w:pPr>
        <w:spacing w:after="160" w:line="312"/>
        <w:jc w:val="both"/>
      </w:pPr>
      <w:r>
        <w:rPr>
          <w:rFonts w:ascii="Arial" w:cs="Arial" w:eastAsia="Arial" w:hAnsi="Arial"/>
          <w:color w:val="333333"/>
          <w:sz w:val="22"/>
          <w:szCs w:val="22"/>
        </w:rPr>
        <w:t xml:space="preserve">A typical YAML frontmatter block in a unified PKM note might include fields like: type (evergreen, fleeting, source, effort), status (growing, seedling, completed), tags for topic classification, a created date, an up link pointing to the parent MOC, and a quadrant field indicating which ICOR® area the note serves (PKM, BKM, PPM, or BPM). All of this metadata is human-readable, machine-readable, and completely portable.</w:t>
      </w:r>
    </w:p>
    <w:p>
      <w:pPr>
        <w:spacing w:before="200" w:after="120"/>
      </w:pPr>
      <w:r>
        <w:rPr>
          <w:rFonts w:ascii="Arial" w:cs="Arial" w:eastAsia="Arial" w:hAnsi="Arial"/>
          <w:b/>
          <w:bCs/>
          <w:color w:val="1B3A5C"/>
          <w:sz w:val="22"/>
          <w:szCs w:val="22"/>
        </w:rPr>
        <w:t xml:space="preserve">Why YAML Frontmatter Transforms PKM</w:t>
      </w:r>
    </w:p>
    <w:p>
      <w:pPr>
        <w:pStyle w:val="ListParagraph"/>
        <w:numPr>
          <w:ilvl w:val="0"/>
          <w:numId w:val="2"/>
        </w:numPr>
        <w:spacing w:after="80" w:line="312"/>
      </w:pPr>
      <w:r>
        <w:rPr>
          <w:rFonts w:ascii="Arial" w:cs="Arial" w:eastAsia="Arial" w:hAnsi="Arial"/>
          <w:b/>
          <w:bCs/>
          <w:color w:val="1B3A5C"/>
          <w:sz w:val="22"/>
          <w:szCs w:val="22"/>
        </w:rPr>
        <w:t xml:space="preserve">Queryable Knowledge: </w:t>
      </w:r>
      <w:r>
        <w:rPr>
          <w:rFonts w:ascii="Arial" w:cs="Arial" w:eastAsia="Arial" w:hAnsi="Arial"/>
          <w:color w:val="333333"/>
          <w:sz w:val="22"/>
          <w:szCs w:val="22"/>
        </w:rPr>
        <w:t xml:space="preserve">With plugins like Dataview or Obsidian’s native Bases feature (released in late 2025), YAML properties become database fields. You can write queries that surface all notes of a certain type, status, or tag—transforming a folder of Markdown files into a dynamic, relational knowledge base. This is how you build dashboards, reading lists, project trackers, and CRM systems inside your PKM.</w:t>
      </w:r>
    </w:p>
    <w:p>
      <w:pPr>
        <w:pStyle w:val="ListParagraph"/>
        <w:numPr>
          <w:ilvl w:val="0"/>
          <w:numId w:val="2"/>
        </w:numPr>
        <w:spacing w:after="80" w:line="312"/>
      </w:pPr>
      <w:r>
        <w:rPr>
          <w:rFonts w:ascii="Arial" w:cs="Arial" w:eastAsia="Arial" w:hAnsi="Arial"/>
          <w:b/>
          <w:bCs/>
          <w:color w:val="1B3A5C"/>
          <w:sz w:val="22"/>
          <w:szCs w:val="22"/>
        </w:rPr>
        <w:t xml:space="preserve">The Bridge Between ICOR® and LYT: </w:t>
      </w:r>
      <w:r>
        <w:rPr>
          <w:rFonts w:ascii="Arial" w:cs="Arial" w:eastAsia="Arial" w:hAnsi="Arial"/>
          <w:color w:val="333333"/>
          <w:sz w:val="22"/>
          <w:szCs w:val="22"/>
        </w:rPr>
        <w:t xml:space="preserve">YAML frontmatter is the technical mechanism that allows the unified framework to function. ICOR®’s routing decisions (“Is this PKM, BKM, PPM, or BPM?”) can be encoded as a quadrant property. LYT’s organizational metadata (up links to parent MOCs, ACE headspace assignments, effort intensity levels) can be stored in the same frontmatter block. A single note can carry both operational and cognitive metadata simultaneously.</w:t>
      </w:r>
    </w:p>
    <w:p>
      <w:pPr>
        <w:pStyle w:val="ListParagraph"/>
        <w:numPr>
          <w:ilvl w:val="0"/>
          <w:numId w:val="2"/>
        </w:numPr>
        <w:spacing w:after="80" w:line="312"/>
      </w:pPr>
      <w:r>
        <w:rPr>
          <w:rFonts w:ascii="Arial" w:cs="Arial" w:eastAsia="Arial" w:hAnsi="Arial"/>
          <w:b/>
          <w:bCs/>
          <w:color w:val="1B3A5C"/>
          <w:sz w:val="22"/>
          <w:szCs w:val="22"/>
        </w:rPr>
        <w:t xml:space="preserve">Automation and AI Integration: </w:t>
      </w:r>
      <w:r>
        <w:rPr>
          <w:rFonts w:ascii="Arial" w:cs="Arial" w:eastAsia="Arial" w:hAnsi="Arial"/>
          <w:color w:val="333333"/>
          <w:sz w:val="22"/>
          <w:szCs w:val="22"/>
        </w:rPr>
        <w:t xml:space="preserve">Because YAML is machine-readable, it enables automation at every level. Templates (via the Templater plugin) can auto-populate frontmatter when creating new notes. AI agents can read frontmatter to understand note context. Scripts can bulk-process notes based on metadata. In a March 2026 case study, a team leader managing twelve people across two teams reported reducing knowledge management overhead from 30–40% of his time to less than 10% by encoding his workflows into AI-readable Markdown files with YAML frontmatter.</w:t>
      </w:r>
    </w:p>
    <w:p>
      <w:pPr>
        <w:pStyle w:val="ListParagraph"/>
        <w:numPr>
          <w:ilvl w:val="0"/>
          <w:numId w:val="2"/>
        </w:numPr>
        <w:spacing w:after="80" w:line="312"/>
      </w:pPr>
      <w:r>
        <w:rPr>
          <w:rFonts w:ascii="Arial" w:cs="Arial" w:eastAsia="Arial" w:hAnsi="Arial"/>
          <w:b/>
          <w:bCs/>
          <w:color w:val="1B3A5C"/>
          <w:sz w:val="22"/>
          <w:szCs w:val="22"/>
        </w:rPr>
        <w:t xml:space="preserve">Progressive Complexity: </w:t>
      </w:r>
      <w:r>
        <w:rPr>
          <w:rFonts w:ascii="Arial" w:cs="Arial" w:eastAsia="Arial" w:hAnsi="Arial"/>
          <w:color w:val="333333"/>
          <w:sz w:val="22"/>
          <w:szCs w:val="22"/>
        </w:rPr>
        <w:t xml:space="preserve">You can start with zero frontmatter and add it gradually as your system matures. A beginner can use plain Markdown with [[links]] and nothing else. As needs grow, they add a type field, then tags, then custom properties for Dataview or Bases queries. This aligns with the unified framework’s phased implementation approach—the system grows with you, not ahead of you.</w:t>
      </w:r>
    </w:p>
    <w:p>
      <w:pPr>
        <w:pStyle w:val="Heading2"/>
        <w:spacing w:before="280" w:after="160"/>
      </w:pPr>
      <w:r>
        <w:rPr>
          <w:rFonts w:ascii="Arial" w:cs="Arial" w:eastAsia="Arial" w:hAnsi="Arial"/>
          <w:b/>
          <w:bCs/>
          <w:color w:val="2E75B6"/>
          <w:sz w:val="26"/>
          <w:szCs w:val="26"/>
        </w:rPr>
        <w:t xml:space="preserve">10.3 Obsidian Bases: The Database Layer (2025–2026)</w:t>
      </w:r>
    </w:p>
    <w:p>
      <w:pPr>
        <w:spacing w:after="160" w:line="312"/>
        <w:jc w:val="both"/>
      </w:pPr>
      <w:r>
        <w:rPr>
          <w:rFonts w:ascii="Arial" w:cs="Arial" w:eastAsia="Arial" w:hAnsi="Arial"/>
          <w:color w:val="333333"/>
          <w:sz w:val="22"/>
          <w:szCs w:val="22"/>
        </w:rPr>
        <w:t xml:space="preserve">One of the most significant recent developments in the PKM ecosystem is Obsidian Bases, a core plugin that provides Notion-like database views over your Markdown files, powered entirely by YAML frontmatter properties. Bases allows you to display notes as tables, cards, or lists; add, edit, sort, group, and filter by any property; and summarize columns with built-in functions—all without leaving the plain-text Markdown foundation.</w:t>
      </w:r>
    </w:p>
    <w:p>
      <w:pPr>
        <w:spacing w:after="160" w:line="312"/>
        <w:jc w:val="both"/>
      </w:pPr>
      <w:r>
        <w:rPr>
          <w:rFonts w:ascii="Arial" w:cs="Arial" w:eastAsia="Arial" w:hAnsi="Arial"/>
          <w:color w:val="333333"/>
          <w:sz w:val="22"/>
          <w:szCs w:val="22"/>
        </w:rPr>
        <w:t xml:space="preserve">Bases represents the convergence point where Markdown’s simplicity meets structured data’s power. In the context of the unified ICOR® × LYT framework, Bases enables several critical capabilities: Effort Dashboards that display all active projects grouped by intensity, Atlas Indexes that automatically surface topic-related notes sorted by status, Tool Stack Audit views that let you perform the ICOR® Venn-diagram exercise with real data, and Calendar Review Summaries that power the Refine/Evolve stage with weekly, monthly, and quarterly retrospectives.</w:t>
      </w:r>
    </w:p>
    <w:p>
      <w:pPr>
        <w:spacing w:after="160" w:line="312"/>
        <w:jc w:val="both"/>
      </w:pPr>
      <w:r>
        <w:rPr>
          <w:rFonts w:ascii="Arial" w:cs="Arial" w:eastAsia="Arial" w:hAnsi="Arial"/>
          <w:color w:val="333333"/>
          <w:sz w:val="22"/>
          <w:szCs w:val="22"/>
        </w:rPr>
        <w:t xml:space="preserve">The transition from Dataview (a community plugin) to Bases (a core plugin) is itself significant: it signals that the Obsidian team has committed to YAML frontmatter as the standard metadata layer. Practitioners who have been using inline Dataview fields are now migrating to YAML properties, ensuring better long-term compatibility and performance.</w:t>
      </w:r>
    </w:p>
    <w:p>
      <w:pPr>
        <w:pStyle w:val="Heading2"/>
        <w:spacing w:before="280" w:after="160"/>
      </w:pPr>
      <w:r>
        <w:rPr>
          <w:rFonts w:ascii="Arial" w:cs="Arial" w:eastAsia="Arial" w:hAnsi="Arial"/>
          <w:b/>
          <w:bCs/>
          <w:color w:val="2E75B6"/>
          <w:sz w:val="26"/>
          <w:szCs w:val="26"/>
        </w:rPr>
        <w:t xml:space="preserve">10.4 The Virtuous Cycle: Plain Text, Structured Metadata, Living System</w:t>
      </w:r>
    </w:p>
    <w:p>
      <w:pPr>
        <w:spacing w:after="160" w:line="312"/>
        <w:jc w:val="both"/>
      </w:pPr>
      <w:r>
        <w:rPr>
          <w:rFonts w:ascii="Arial" w:cs="Arial" w:eastAsia="Arial" w:hAnsi="Arial"/>
          <w:color w:val="333333"/>
          <w:sz w:val="22"/>
          <w:szCs w:val="22"/>
        </w:rPr>
        <w:t xml:space="preserve">The combination of Markdown and YAML creates what might be called the “virtuous cycle of PKM”: you write in plain text (fast, focused, distraction-free), you enrich with structured metadata (queryable, automatable, AI-readable), and you interact with your knowledge through dynamic views (Bases, Dataview, graph view) that surface connections and patterns you would never spot by browsing folders. The underlying files remain simple .md text files that you own, can version-control with Git, back up to any cloud service, and read with any text editor on any operating system.</w:t>
      </w:r>
    </w:p>
    <w:p>
      <w:pPr>
        <w:spacing w:after="160" w:line="312"/>
        <w:jc w:val="both"/>
      </w:pPr>
      <w:r>
        <w:rPr>
          <w:rFonts w:ascii="Arial" w:cs="Arial" w:eastAsia="Arial" w:hAnsi="Arial"/>
          <w:color w:val="333333"/>
          <w:sz w:val="22"/>
          <w:szCs w:val="22"/>
        </w:rPr>
        <w:t xml:space="preserve">This is the technical foundation that makes both ICOR®’s tool-agnostic promise and LYT’s future-proof philosophy genuinely achievable—not as marketing claims, but as engineering realities. Your system is built on the most durable digital format in existence (plain text), enriched by the most readable data format available (YAML), and powered by an ecosystem of tools (Obsidian, Dataview, Bases, Templater, AI agents) that treat your knowledge as yours.</w:t>
      </w:r>
    </w:p>
    <w:p>
      <w:pPr>
        <w:spacing w:after="160" w:line="312"/>
        <w:ind w:left="360" w:right="360"/>
      </w:pPr>
      <w:r>
        <w:rPr>
          <w:rFonts w:ascii="Arial" w:cs="Arial" w:eastAsia="Arial" w:hAnsi="Arial"/>
          <w:i/>
          <w:iCs/>
          <w:color w:val="888888"/>
          <w:sz w:val="21"/>
          <w:szCs w:val="21"/>
        </w:rPr>
        <w:t xml:space="preserve">As one PKM practitioner with 8,000 notes and 64,000 links observed in early 2025: “Plain text is future-proof. Markdown is where it’s at.” The data bears this out: at scale, a Markdown-based PKM system with YAML frontmatter produces exponentially richer connections over time—daily notes averaging 11.5 links, weekly reviews 45.7, monthly summaries 161.6, and yearly retrospectives over 1,400 links each.</w:t>
      </w:r>
    </w:p>
    <w:p>
      <w:r>
        <w:br w:type="page"/>
      </w:r>
    </w:p>
    <w:p>
      <w:pPr>
        <w:pStyle w:val="Heading1"/>
        <w:spacing w:before="360" w:after="200"/>
      </w:pPr>
      <w:r>
        <w:rPr>
          <w:rFonts w:ascii="Arial" w:cs="Arial" w:eastAsia="Arial" w:hAnsi="Arial"/>
          <w:b/>
          <w:bCs/>
          <w:color w:val="1B3A5C"/>
          <w:sz w:val="32"/>
          <w:szCs w:val="32"/>
        </w:rPr>
        <w:t xml:space="preserve">11. Practical Implementation Guide</w:t>
      </w:r>
    </w:p>
    <w:p>
      <w:pPr>
        <w:spacing w:after="160" w:line="312"/>
        <w:jc w:val="both"/>
      </w:pPr>
      <w:r>
        <w:rPr>
          <w:rFonts w:ascii="Arial" w:cs="Arial" w:eastAsia="Arial" w:hAnsi="Arial"/>
          <w:color w:val="333333"/>
          <w:sz w:val="22"/>
          <w:szCs w:val="22"/>
        </w:rPr>
        <w:t xml:space="preserve">For a knowledge worker ready to adopt the unified framework, the following phased approach is recommended:</w:t>
      </w:r>
    </w:p>
    <w:p>
      <w:pPr>
        <w:pStyle w:val="Heading2"/>
        <w:spacing w:before="280" w:after="160"/>
      </w:pPr>
      <w:r>
        <w:rPr>
          <w:rFonts w:ascii="Arial" w:cs="Arial" w:eastAsia="Arial" w:hAnsi="Arial"/>
          <w:b/>
          <w:bCs/>
          <w:color w:val="2E75B6"/>
          <w:sz w:val="26"/>
          <w:szCs w:val="26"/>
        </w:rPr>
        <w:t xml:space="preserve">Phase 1: Audit (Week 1–2)</w:t>
      </w:r>
    </w:p>
    <w:p>
      <w:pPr>
        <w:pStyle w:val="ListParagraph"/>
        <w:numPr>
          <w:ilvl w:val="0"/>
          <w:numId w:val="3"/>
        </w:numPr>
        <w:spacing w:after="80" w:line="312"/>
      </w:pPr>
      <w:r>
        <w:rPr>
          <w:rFonts w:ascii="Arial" w:cs="Arial" w:eastAsia="Arial" w:hAnsi="Arial"/>
          <w:color w:val="333333"/>
          <w:sz w:val="22"/>
          <w:szCs w:val="22"/>
        </w:rPr>
        <w:t xml:space="preserve">Map your current tool stack using the ICOR® Four Quadrants. Identify every app you use and classify it as Core, Satellite, or Utility.</w:t>
      </w:r>
    </w:p>
    <w:p>
      <w:pPr>
        <w:pStyle w:val="ListParagraph"/>
        <w:numPr>
          <w:ilvl w:val="0"/>
          <w:numId w:val="3"/>
        </w:numPr>
        <w:spacing w:after="80" w:line="312"/>
      </w:pPr>
      <w:r>
        <w:rPr>
          <w:rFonts w:ascii="Arial" w:cs="Arial" w:eastAsia="Arial" w:hAnsi="Arial"/>
          <w:color w:val="333333"/>
          <w:sz w:val="22"/>
          <w:szCs w:val="22"/>
        </w:rPr>
        <w:t xml:space="preserve">Assess your current knowledge system against the ACE headspaces. Do you have a clear separation between knowledge (Atlas), time-based notes (Calendar), and action items (Efforts)?</w:t>
      </w:r>
    </w:p>
    <w:p>
      <w:pPr>
        <w:pStyle w:val="ListParagraph"/>
        <w:numPr>
          <w:ilvl w:val="0"/>
          <w:numId w:val="3"/>
        </w:numPr>
        <w:spacing w:after="80" w:line="312"/>
      </w:pPr>
      <w:r>
        <w:rPr>
          <w:rFonts w:ascii="Arial" w:cs="Arial" w:eastAsia="Arial" w:hAnsi="Arial"/>
          <w:color w:val="333333"/>
          <w:sz w:val="22"/>
          <w:szCs w:val="22"/>
        </w:rPr>
        <w:t xml:space="preserve">Identify your weakest stage. Most people over-invest in Input/Add and under-invest in Control/Relate. Diagnose where your bottleneck is.</w:t>
      </w:r>
    </w:p>
    <w:p>
      <w:pPr>
        <w:pStyle w:val="Heading2"/>
        <w:spacing w:before="280" w:after="160"/>
      </w:pPr>
      <w:r>
        <w:rPr>
          <w:rFonts w:ascii="Arial" w:cs="Arial" w:eastAsia="Arial" w:hAnsi="Arial"/>
          <w:b/>
          <w:bCs/>
          <w:color w:val="2E75B6"/>
          <w:sz w:val="26"/>
          <w:szCs w:val="26"/>
        </w:rPr>
        <w:t xml:space="preserve">Phase 2: Structure (Week 3–4)</w:t>
      </w:r>
    </w:p>
    <w:p>
      <w:pPr>
        <w:pStyle w:val="ListParagraph"/>
        <w:numPr>
          <w:ilvl w:val="0"/>
          <w:numId w:val="3"/>
        </w:numPr>
        <w:spacing w:after="80" w:line="312"/>
      </w:pPr>
      <w:r>
        <w:rPr>
          <w:rFonts w:ascii="Arial" w:cs="Arial" w:eastAsia="Arial" w:hAnsi="Arial"/>
          <w:color w:val="333333"/>
          <w:sz w:val="22"/>
          <w:szCs w:val="22"/>
        </w:rPr>
        <w:t xml:space="preserve">Set up the ACE folder structure in your primary note-taking tool. Create Atlas, Calendar, Efforts, + (inbox), and X (metadata) folders.</w:t>
      </w:r>
    </w:p>
    <w:p>
      <w:pPr>
        <w:pStyle w:val="ListParagraph"/>
        <w:numPr>
          <w:ilvl w:val="0"/>
          <w:numId w:val="3"/>
        </w:numPr>
        <w:spacing w:after="80" w:line="312"/>
      </w:pPr>
      <w:r>
        <w:rPr>
          <w:rFonts w:ascii="Arial" w:cs="Arial" w:eastAsia="Arial" w:hAnsi="Arial"/>
          <w:color w:val="333333"/>
          <w:sz w:val="22"/>
          <w:szCs w:val="22"/>
        </w:rPr>
        <w:t xml:space="preserve">Establish a daily note practice in Calendar. Use this as both your ICOR® Input capture surface and your LYT thinking log.</w:t>
      </w:r>
    </w:p>
    <w:p>
      <w:pPr>
        <w:pStyle w:val="ListParagraph"/>
        <w:numPr>
          <w:ilvl w:val="0"/>
          <w:numId w:val="3"/>
        </w:numPr>
        <w:spacing w:after="80" w:line="312"/>
      </w:pPr>
      <w:r>
        <w:rPr>
          <w:rFonts w:ascii="Arial" w:cs="Arial" w:eastAsia="Arial" w:hAnsi="Arial"/>
          <w:color w:val="333333"/>
          <w:sz w:val="22"/>
          <w:szCs w:val="22"/>
        </w:rPr>
        <w:t xml:space="preserve">Begin classifying existing notes into the Four Quadrants. Route knowledge to Atlas; route tasks and projects to Efforts.</w:t>
      </w:r>
    </w:p>
    <w:p>
      <w:pPr>
        <w:pStyle w:val="Heading2"/>
        <w:spacing w:before="280" w:after="160"/>
      </w:pPr>
      <w:r>
        <w:rPr>
          <w:rFonts w:ascii="Arial" w:cs="Arial" w:eastAsia="Arial" w:hAnsi="Arial"/>
          <w:b/>
          <w:bCs/>
          <w:color w:val="2E75B6"/>
          <w:sz w:val="26"/>
          <w:szCs w:val="26"/>
        </w:rPr>
        <w:t xml:space="preserve">Phase 3: Connect (Week 5–8)</w:t>
      </w:r>
    </w:p>
    <w:p>
      <w:pPr>
        <w:pStyle w:val="ListParagraph"/>
        <w:numPr>
          <w:ilvl w:val="0"/>
          <w:numId w:val="3"/>
        </w:numPr>
        <w:spacing w:after="80" w:line="312"/>
      </w:pPr>
      <w:r>
        <w:rPr>
          <w:rFonts w:ascii="Arial" w:cs="Arial" w:eastAsia="Arial" w:hAnsi="Arial"/>
          <w:color w:val="333333"/>
          <w:sz w:val="22"/>
          <w:szCs w:val="22"/>
        </w:rPr>
        <w:t xml:space="preserve">Start creating MOCs for your most active topics. Begin with 2–3 areas where you already have significant notes.</w:t>
      </w:r>
    </w:p>
    <w:p>
      <w:pPr>
        <w:pStyle w:val="ListParagraph"/>
        <w:numPr>
          <w:ilvl w:val="0"/>
          <w:numId w:val="3"/>
        </w:numPr>
        <w:spacing w:after="80" w:line="312"/>
      </w:pPr>
      <w:r>
        <w:rPr>
          <w:rFonts w:ascii="Arial" w:cs="Arial" w:eastAsia="Arial" w:hAnsi="Arial"/>
          <w:color w:val="333333"/>
          <w:sz w:val="22"/>
          <w:szCs w:val="22"/>
        </w:rPr>
        <w:t xml:space="preserve">Practice the Relate phase deliberately: every time you process inbox items, ask not just “Where does this go?” (ICOR®) but also “What does this connect to?” (LYT).</w:t>
      </w:r>
    </w:p>
    <w:p>
      <w:pPr>
        <w:pStyle w:val="ListParagraph"/>
        <w:numPr>
          <w:ilvl w:val="0"/>
          <w:numId w:val="3"/>
        </w:numPr>
        <w:spacing w:after="80" w:line="312"/>
      </w:pPr>
      <w:r>
        <w:rPr>
          <w:rFonts w:ascii="Arial" w:cs="Arial" w:eastAsia="Arial" w:hAnsi="Arial"/>
          <w:color w:val="333333"/>
          <w:sz w:val="22"/>
          <w:szCs w:val="22"/>
        </w:rPr>
        <w:t xml:space="preserve">Build atomic notes for key concepts and link them across MOCs. Allow Idea Emergence to begin.</w:t>
      </w:r>
    </w:p>
    <w:p>
      <w:pPr>
        <w:pStyle w:val="Heading2"/>
        <w:spacing w:before="280" w:after="160"/>
      </w:pPr>
      <w:r>
        <w:rPr>
          <w:rFonts w:ascii="Arial" w:cs="Arial" w:eastAsia="Arial" w:hAnsi="Arial"/>
          <w:b/>
          <w:bCs/>
          <w:color w:val="2E75B6"/>
          <w:sz w:val="26"/>
          <w:szCs w:val="26"/>
        </w:rPr>
        <w:t xml:space="preserve">Phase 4: Execute and Refine (Ongoing)</w:t>
      </w:r>
    </w:p>
    <w:p>
      <w:pPr>
        <w:pStyle w:val="ListParagraph"/>
        <w:numPr>
          <w:ilvl w:val="0"/>
          <w:numId w:val="3"/>
        </w:numPr>
        <w:spacing w:after="80" w:line="312"/>
      </w:pPr>
      <w:r>
        <w:rPr>
          <w:rFonts w:ascii="Arial" w:cs="Arial" w:eastAsia="Arial" w:hAnsi="Arial"/>
          <w:color w:val="333333"/>
          <w:sz w:val="22"/>
          <w:szCs w:val="22"/>
        </w:rPr>
        <w:t xml:space="preserve">Use the Efforts folder with intensity levels (On, Ongoing, Simmering, Sleeping) to manage all projects and outputs.</w:t>
      </w:r>
    </w:p>
    <w:p>
      <w:pPr>
        <w:pStyle w:val="ListParagraph"/>
        <w:numPr>
          <w:ilvl w:val="0"/>
          <w:numId w:val="3"/>
        </w:numPr>
        <w:spacing w:after="80" w:line="312"/>
      </w:pPr>
      <w:r>
        <w:rPr>
          <w:rFonts w:ascii="Arial" w:cs="Arial" w:eastAsia="Arial" w:hAnsi="Arial"/>
          <w:color w:val="333333"/>
          <w:sz w:val="22"/>
          <w:szCs w:val="22"/>
        </w:rPr>
        <w:t xml:space="preserve">Conduct weekly reviews (Calendar) to process remaining inbox items, update MOCs, and advance Efforts.</w:t>
      </w:r>
    </w:p>
    <w:p>
      <w:pPr>
        <w:pStyle w:val="ListParagraph"/>
        <w:numPr>
          <w:ilvl w:val="0"/>
          <w:numId w:val="3"/>
        </w:numPr>
        <w:spacing w:after="80" w:line="312"/>
      </w:pPr>
      <w:r>
        <w:rPr>
          <w:rFonts w:ascii="Arial" w:cs="Arial" w:eastAsia="Arial" w:hAnsi="Arial"/>
          <w:color w:val="333333"/>
          <w:sz w:val="22"/>
          <w:szCs w:val="22"/>
        </w:rPr>
        <w:t xml:space="preserve">Conduct monthly or quarterly system reviews: audit your tool stack, remove Utility apps that aren’t earning their place, and refine workflows.</w:t>
      </w:r>
    </w:p>
    <w:p>
      <w:pPr>
        <w:pStyle w:val="ListParagraph"/>
        <w:numPr>
          <w:ilvl w:val="0"/>
          <w:numId w:val="3"/>
        </w:numPr>
        <w:spacing w:after="80" w:line="312"/>
      </w:pPr>
      <w:r>
        <w:rPr>
          <w:rFonts w:ascii="Arial" w:cs="Arial" w:eastAsia="Arial" w:hAnsi="Arial"/>
          <w:color w:val="333333"/>
          <w:sz w:val="22"/>
          <w:szCs w:val="22"/>
        </w:rPr>
        <w:t xml:space="preserve">Evolve your MOC network over time. As your Atlas grows, higher-order MOC connections will naturally emerge, dramatically accelerating your ability to produce quality output.</w:t>
      </w:r>
    </w:p>
    <w:p>
      <w:r>
        <w:br w:type="page"/>
      </w:r>
    </w:p>
    <w:p>
      <w:pPr>
        <w:pStyle w:val="Heading1"/>
        <w:spacing w:before="360" w:after="200"/>
      </w:pPr>
      <w:r>
        <w:rPr>
          <w:rFonts w:ascii="Arial" w:cs="Arial" w:eastAsia="Arial" w:hAnsi="Arial"/>
          <w:b/>
          <w:bCs/>
          <w:color w:val="1B3A5C"/>
          <w:sz w:val="32"/>
          <w:szCs w:val="32"/>
        </w:rPr>
        <w:t xml:space="preserve">12. Conclusion: A System Greater Than Its Parts</w:t>
      </w:r>
    </w:p>
    <w:p>
      <w:pPr>
        <w:spacing w:after="160" w:line="312"/>
        <w:jc w:val="both"/>
      </w:pPr>
      <w:r>
        <w:rPr>
          <w:rFonts w:ascii="Arial" w:cs="Arial" w:eastAsia="Arial" w:hAnsi="Arial"/>
          <w:color w:val="333333"/>
          <w:sz w:val="22"/>
          <w:szCs w:val="22"/>
        </w:rPr>
        <w:t xml:space="preserve">Tom Solid’s ICOR® and Nick Milo’s LYT are two of the most thoughtful and battle-tested PKM methodologies available today. Each alone is powerful. Together, they form something greater: a complete PKM operating system that addresses both the operational dimension of productivity (how information flows and work gets done) and the cognitive dimension of knowledge work (how ideas connect, deepen, and produce insight).</w:t>
      </w:r>
    </w:p>
    <w:p>
      <w:pPr>
        <w:spacing w:after="160" w:line="312"/>
        <w:jc w:val="both"/>
      </w:pPr>
      <w:r>
        <w:rPr>
          <w:rFonts w:ascii="Arial" w:cs="Arial" w:eastAsia="Arial" w:hAnsi="Arial"/>
          <w:color w:val="333333"/>
          <w:sz w:val="22"/>
          <w:szCs w:val="22"/>
        </w:rPr>
        <w:t xml:space="preserve">The unified framework proposed in this paper is not a compromise between the two philosophies—it is a synthesis. ICOR® provides the end-to-end pipeline that ensures nothing falls through the cracks. LYT provides the linking architecture that ensures nothing remains shallow or disconnected. The ACE headspaces give your system a cognitive foundation rooted in how human beings actually think. The Four Quadrants give it operational precision that scales from personal journals to enterprise project management.</w:t>
      </w:r>
    </w:p>
    <w:p>
      <w:pPr>
        <w:spacing w:after="160" w:line="312"/>
        <w:jc w:val="both"/>
      </w:pPr>
      <w:r>
        <w:rPr>
          <w:rFonts w:ascii="Arial" w:cs="Arial" w:eastAsia="Arial" w:hAnsi="Arial"/>
          <w:color w:val="333333"/>
          <w:sz w:val="22"/>
          <w:szCs w:val="22"/>
        </w:rPr>
        <w:t xml:space="preserve">The result is a PKM system that is:</w:t>
      </w:r>
    </w:p>
    <w:p>
      <w:pPr>
        <w:pStyle w:val="ListParagraph"/>
        <w:numPr>
          <w:ilvl w:val="0"/>
          <w:numId w:val="2"/>
        </w:numPr>
        <w:spacing w:after="80" w:line="312"/>
      </w:pPr>
      <w:r>
        <w:rPr>
          <w:rFonts w:ascii="Arial" w:cs="Arial" w:eastAsia="Arial" w:hAnsi="Arial"/>
          <w:b/>
          <w:bCs/>
          <w:color w:val="1B3A5C"/>
          <w:sz w:val="22"/>
          <w:szCs w:val="22"/>
        </w:rPr>
        <w:t xml:space="preserve">Process-driven and idea-driven </w:t>
      </w:r>
      <w:r>
        <w:rPr>
          <w:rFonts w:ascii="Arial" w:cs="Arial" w:eastAsia="Arial" w:hAnsi="Arial"/>
          <w:color w:val="333333"/>
          <w:sz w:val="22"/>
          <w:szCs w:val="22"/>
        </w:rPr>
        <w:t xml:space="preserve">— operational clarity without sacrificing cognitive depth.</w:t>
      </w:r>
    </w:p>
    <w:p>
      <w:pPr>
        <w:pStyle w:val="ListParagraph"/>
        <w:numPr>
          <w:ilvl w:val="0"/>
          <w:numId w:val="2"/>
        </w:numPr>
        <w:spacing w:after="80" w:line="312"/>
      </w:pPr>
      <w:r>
        <w:rPr>
          <w:rFonts w:ascii="Arial" w:cs="Arial" w:eastAsia="Arial" w:hAnsi="Arial"/>
          <w:b/>
          <w:bCs/>
          <w:color w:val="1B3A5C"/>
          <w:sz w:val="22"/>
          <w:szCs w:val="22"/>
        </w:rPr>
        <w:t xml:space="preserve">Tool-agnostic and future-proof </w:t>
      </w:r>
      <w:r>
        <w:rPr>
          <w:rFonts w:ascii="Arial" w:cs="Arial" w:eastAsia="Arial" w:hAnsi="Arial"/>
          <w:color w:val="333333"/>
          <w:sz w:val="22"/>
          <w:szCs w:val="22"/>
        </w:rPr>
        <w:t xml:space="preserve">— the system survives any tool change because it is built on principles, not platforms.</w:t>
      </w:r>
    </w:p>
    <w:p>
      <w:pPr>
        <w:pStyle w:val="ListParagraph"/>
        <w:numPr>
          <w:ilvl w:val="0"/>
          <w:numId w:val="2"/>
        </w:numPr>
        <w:spacing w:after="80" w:line="312"/>
      </w:pPr>
      <w:r>
        <w:rPr>
          <w:rFonts w:ascii="Arial" w:cs="Arial" w:eastAsia="Arial" w:hAnsi="Arial"/>
          <w:b/>
          <w:bCs/>
          <w:color w:val="1B3A5C"/>
          <w:sz w:val="22"/>
          <w:szCs w:val="22"/>
        </w:rPr>
        <w:t xml:space="preserve">Scalable from personal to professional </w:t>
      </w:r>
      <w:r>
        <w:rPr>
          <w:rFonts w:ascii="Arial" w:cs="Arial" w:eastAsia="Arial" w:hAnsi="Arial"/>
          <w:color w:val="333333"/>
          <w:sz w:val="22"/>
          <w:szCs w:val="22"/>
        </w:rPr>
        <w:t xml:space="preserve">— the Four Quadrants ensure it works for solo creators and corporate teams alike.</w:t>
      </w:r>
    </w:p>
    <w:p>
      <w:pPr>
        <w:pStyle w:val="ListParagraph"/>
        <w:numPr>
          <w:ilvl w:val="0"/>
          <w:numId w:val="2"/>
        </w:numPr>
        <w:spacing w:after="80" w:line="312"/>
      </w:pPr>
      <w:r>
        <w:rPr>
          <w:rFonts w:ascii="Arial" w:cs="Arial" w:eastAsia="Arial" w:hAnsi="Arial"/>
          <w:b/>
          <w:bCs/>
          <w:color w:val="1B3A5C"/>
          <w:sz w:val="22"/>
          <w:szCs w:val="22"/>
        </w:rPr>
        <w:t xml:space="preserve">Self-improving </w:t>
      </w:r>
      <w:r>
        <w:rPr>
          <w:rFonts w:ascii="Arial" w:cs="Arial" w:eastAsia="Arial" w:hAnsi="Arial"/>
          <w:color w:val="333333"/>
          <w:sz w:val="22"/>
          <w:szCs w:val="22"/>
        </w:rPr>
        <w:t xml:space="preserve">— the Refine stage and evergreen note practice ensure the system evolves with you over a lifetime.</w:t>
      </w:r>
    </w:p>
    <w:p>
      <w:pPr>
        <w:spacing w:after="200"/>
      </w:pPr>
    </w:p>
    <w:p>
      <w:pPr>
        <w:spacing w:after="160" w:line="312"/>
        <w:jc w:val="both"/>
      </w:pPr>
      <w:r>
        <w:rPr>
          <w:rFonts w:ascii="Arial" w:cs="Arial" w:eastAsia="Arial" w:hAnsi="Arial"/>
          <w:color w:val="333333"/>
          <w:sz w:val="22"/>
          <w:szCs w:val="22"/>
        </w:rPr>
        <w:t xml:space="preserve">In the end, the purpose of any PKM system is not to manage knowledge for its own sake. It is to amplify your ability to think clearly, act decisively, and create meaningfully. The unified ICOR® × LYT framework is designed to do exactly that.</w:t>
      </w:r>
    </w:p>
    <w:p>
      <w:pPr>
        <w:pBdr>
          <w:bottom w:val="single" w:color="D4A843" w:sz="4" w:space="1"/>
        </w:pBdr>
        <w:spacing w:before="200" w:after="200"/>
      </w:pPr>
    </w:p>
    <w:p>
      <w:pPr>
        <w:pStyle w:val="Heading1"/>
        <w:spacing w:before="360" w:after="200"/>
      </w:pPr>
      <w:r>
        <w:rPr>
          <w:rFonts w:ascii="Arial" w:cs="Arial" w:eastAsia="Arial" w:hAnsi="Arial"/>
          <w:b/>
          <w:bCs/>
          <w:color w:val="1B3A5C"/>
          <w:sz w:val="32"/>
          <w:szCs w:val="32"/>
        </w:rPr>
        <w:t xml:space="preserve">References and Resources</w:t>
      </w:r>
    </w:p>
    <w:p>
      <w:pPr>
        <w:pStyle w:val="Heading2"/>
        <w:spacing w:before="280" w:after="160"/>
      </w:pPr>
      <w:r>
        <w:rPr>
          <w:rFonts w:ascii="Arial" w:cs="Arial" w:eastAsia="Arial" w:hAnsi="Arial"/>
          <w:b/>
          <w:bCs/>
          <w:color w:val="2E75B6"/>
          <w:sz w:val="26"/>
          <w:szCs w:val="26"/>
        </w:rPr>
        <w:t xml:space="preserve">Tom Solid / ICOR® / Paperless Movement®</w:t>
      </w:r>
    </w:p>
    <w:p>
      <w:pPr>
        <w:pStyle w:val="ListParagraph"/>
        <w:numPr>
          <w:ilvl w:val="0"/>
          <w:numId w:val="2"/>
        </w:numPr>
        <w:spacing w:after="80" w:line="312"/>
      </w:pPr>
      <w:r>
        <w:rPr>
          <w:rFonts w:ascii="Arial" w:cs="Arial" w:eastAsia="Arial" w:hAnsi="Arial"/>
          <w:color w:val="333333"/>
          <w:sz w:val="22"/>
          <w:szCs w:val="22"/>
        </w:rPr>
        <w:t xml:space="preserve">Solid, T. &amp; Cantero, P. (2024). ICOR® Journey: Learn How to Build Your Ultimate Productivity System with Any Tools. Paperless Movement S.L.</w:t>
      </w:r>
    </w:p>
    <w:p>
      <w:pPr>
        <w:pStyle w:val="ListParagraph"/>
        <w:numPr>
          <w:ilvl w:val="0"/>
          <w:numId w:val="2"/>
        </w:numPr>
        <w:spacing w:after="80" w:line="312"/>
      </w:pPr>
      <w:r>
        <w:rPr>
          <w:rFonts w:ascii="Arial" w:cs="Arial" w:eastAsia="Arial" w:hAnsi="Arial"/>
          <w:color w:val="333333"/>
          <w:sz w:val="22"/>
          <w:szCs w:val="22"/>
        </w:rPr>
        <w:t xml:space="preserve">Paperless Movement® Website: https://paperlessmovement.com</w:t>
      </w:r>
    </w:p>
    <w:p>
      <w:pPr>
        <w:pStyle w:val="ListParagraph"/>
        <w:numPr>
          <w:ilvl w:val="0"/>
          <w:numId w:val="2"/>
        </w:numPr>
        <w:spacing w:after="80" w:line="312"/>
      </w:pPr>
      <w:r>
        <w:rPr>
          <w:rFonts w:ascii="Arial" w:cs="Arial" w:eastAsia="Arial" w:hAnsi="Arial"/>
          <w:color w:val="333333"/>
          <w:sz w:val="22"/>
          <w:szCs w:val="22"/>
        </w:rPr>
        <w:t xml:space="preserve">myICOR Application: https://myicor.com</w:t>
      </w:r>
    </w:p>
    <w:p>
      <w:pPr>
        <w:pStyle w:val="ListParagraph"/>
        <w:numPr>
          <w:ilvl w:val="0"/>
          <w:numId w:val="2"/>
        </w:numPr>
        <w:spacing w:after="80" w:line="312"/>
      </w:pPr>
      <w:r>
        <w:rPr>
          <w:rFonts w:ascii="Arial" w:cs="Arial" w:eastAsia="Arial" w:hAnsi="Arial"/>
          <w:color w:val="333333"/>
          <w:sz w:val="22"/>
          <w:szCs w:val="22"/>
        </w:rPr>
        <w:t xml:space="preserve">myICOR Blog: https://blog.myicor.com</w:t>
      </w:r>
    </w:p>
    <w:p>
      <w:pPr>
        <w:pStyle w:val="ListParagraph"/>
        <w:numPr>
          <w:ilvl w:val="0"/>
          <w:numId w:val="2"/>
        </w:numPr>
        <w:spacing w:after="80" w:line="312"/>
      </w:pPr>
      <w:r>
        <w:rPr>
          <w:rFonts w:ascii="Arial" w:cs="Arial" w:eastAsia="Arial" w:hAnsi="Arial"/>
          <w:color w:val="333333"/>
          <w:sz w:val="22"/>
          <w:szCs w:val="22"/>
        </w:rPr>
        <w:t xml:space="preserve">YouTube Channel: https://youtube.com/c/tomsolid</w:t>
      </w:r>
    </w:p>
    <w:p>
      <w:pPr>
        <w:pStyle w:val="ListParagraph"/>
        <w:numPr>
          <w:ilvl w:val="0"/>
          <w:numId w:val="2"/>
        </w:numPr>
        <w:spacing w:after="80" w:line="312"/>
      </w:pPr>
      <w:r>
        <w:rPr>
          <w:rFonts w:ascii="Arial" w:cs="Arial" w:eastAsia="Arial" w:hAnsi="Arial"/>
          <w:color w:val="333333"/>
          <w:sz w:val="22"/>
          <w:szCs w:val="22"/>
        </w:rPr>
        <w:t xml:space="preserve">Podcast: “Productivity Like a Pro” (Apple Podcasts, Spotify)</w:t>
      </w:r>
    </w:p>
    <w:p>
      <w:pPr>
        <w:pStyle w:val="ListParagraph"/>
        <w:numPr>
          <w:ilvl w:val="0"/>
          <w:numId w:val="2"/>
        </w:numPr>
        <w:spacing w:after="80" w:line="312"/>
      </w:pPr>
      <w:r>
        <w:rPr>
          <w:rFonts w:ascii="Arial" w:cs="Arial" w:eastAsia="Arial" w:hAnsi="Arial"/>
          <w:color w:val="333333"/>
          <w:sz w:val="22"/>
          <w:szCs w:val="22"/>
        </w:rPr>
        <w:t xml:space="preserve">ICOR® Framework (Miro Template): https://miro.com/templates/icor-framework</w:t>
      </w:r>
    </w:p>
    <w:p>
      <w:pPr>
        <w:pStyle w:val="ListParagraph"/>
        <w:numPr>
          <w:ilvl w:val="0"/>
          <w:numId w:val="2"/>
        </w:numPr>
        <w:spacing w:after="80" w:line="312"/>
      </w:pPr>
      <w:r>
        <w:rPr>
          <w:rFonts w:ascii="Arial" w:cs="Arial" w:eastAsia="Arial" w:hAnsi="Arial"/>
          <w:color w:val="333333"/>
          <w:sz w:val="22"/>
          <w:szCs w:val="22"/>
        </w:rPr>
        <w:t xml:space="preserve">Twitter/X: @TomSolidPM</w:t>
      </w:r>
    </w:p>
    <w:p>
      <w:pPr>
        <w:spacing w:after="120"/>
      </w:pPr>
    </w:p>
    <w:p>
      <w:pPr>
        <w:pStyle w:val="Heading2"/>
        <w:spacing w:before="280" w:after="160"/>
      </w:pPr>
      <w:r>
        <w:rPr>
          <w:rFonts w:ascii="Arial" w:cs="Arial" w:eastAsia="Arial" w:hAnsi="Arial"/>
          <w:b/>
          <w:bCs/>
          <w:color w:val="2E75B6"/>
          <w:sz w:val="26"/>
          <w:szCs w:val="26"/>
        </w:rPr>
        <w:t xml:space="preserve">Nick Milo / LYT / Linking Your Thinking</w:t>
      </w:r>
    </w:p>
    <w:p>
      <w:pPr>
        <w:pStyle w:val="ListParagraph"/>
        <w:numPr>
          <w:ilvl w:val="0"/>
          <w:numId w:val="2"/>
        </w:numPr>
        <w:spacing w:after="80" w:line="312"/>
      </w:pPr>
      <w:r>
        <w:rPr>
          <w:rFonts w:ascii="Arial" w:cs="Arial" w:eastAsia="Arial" w:hAnsi="Arial"/>
          <w:color w:val="333333"/>
          <w:sz w:val="22"/>
          <w:szCs w:val="22"/>
        </w:rPr>
        <w:t xml:space="preserve">Milo, N. (2020–2026). Linking Your Thinking Workshop (multiple cohorts).</w:t>
      </w:r>
    </w:p>
    <w:p>
      <w:pPr>
        <w:pStyle w:val="ListParagraph"/>
        <w:numPr>
          <w:ilvl w:val="0"/>
          <w:numId w:val="2"/>
        </w:numPr>
        <w:spacing w:after="80" w:line="312"/>
      </w:pPr>
      <w:r>
        <w:rPr>
          <w:rFonts w:ascii="Arial" w:cs="Arial" w:eastAsia="Arial" w:hAnsi="Arial"/>
          <w:color w:val="333333"/>
          <w:sz w:val="22"/>
          <w:szCs w:val="22"/>
        </w:rPr>
        <w:t xml:space="preserve">Linking Your Thinking Website: https://linkingyourthinking.com</w:t>
      </w:r>
    </w:p>
    <w:p>
      <w:pPr>
        <w:pStyle w:val="ListParagraph"/>
        <w:numPr>
          <w:ilvl w:val="0"/>
          <w:numId w:val="2"/>
        </w:numPr>
        <w:spacing w:after="80" w:line="312"/>
      </w:pPr>
      <w:r>
        <w:rPr>
          <w:rFonts w:ascii="Arial" w:cs="Arial" w:eastAsia="Arial" w:hAnsi="Arial"/>
          <w:color w:val="333333"/>
          <w:sz w:val="22"/>
          <w:szCs w:val="22"/>
        </w:rPr>
        <w:t xml:space="preserve">LYT Blog: https://blog.linkingyourthinking.com</w:t>
      </w:r>
    </w:p>
    <w:p>
      <w:pPr>
        <w:pStyle w:val="ListParagraph"/>
        <w:numPr>
          <w:ilvl w:val="0"/>
          <w:numId w:val="2"/>
        </w:numPr>
        <w:spacing w:after="80" w:line="312"/>
      </w:pPr>
      <w:r>
        <w:rPr>
          <w:rFonts w:ascii="Arial" w:cs="Arial" w:eastAsia="Arial" w:hAnsi="Arial"/>
          <w:color w:val="333333"/>
          <w:sz w:val="22"/>
          <w:szCs w:val="22"/>
        </w:rPr>
        <w:t xml:space="preserve">Ideaverse for Obsidian (Free Kit): https://start.linkingyourthinking.com/ideaverse-for-obsidian</w:t>
      </w:r>
    </w:p>
    <w:p>
      <w:pPr>
        <w:pStyle w:val="ListParagraph"/>
        <w:numPr>
          <w:ilvl w:val="0"/>
          <w:numId w:val="2"/>
        </w:numPr>
        <w:spacing w:after="80" w:line="312"/>
      </w:pPr>
      <w:r>
        <w:rPr>
          <w:rFonts w:ascii="Arial" w:cs="Arial" w:eastAsia="Arial" w:hAnsi="Arial"/>
          <w:color w:val="333333"/>
          <w:sz w:val="22"/>
          <w:szCs w:val="22"/>
        </w:rPr>
        <w:t xml:space="preserve">Ideaverse Pro: https://linkingyourthinking.com/ideaverse-pro</w:t>
      </w:r>
    </w:p>
    <w:p>
      <w:pPr>
        <w:pStyle w:val="ListParagraph"/>
        <w:numPr>
          <w:ilvl w:val="0"/>
          <w:numId w:val="2"/>
        </w:numPr>
        <w:spacing w:after="80" w:line="312"/>
      </w:pPr>
      <w:r>
        <w:rPr>
          <w:rFonts w:ascii="Arial" w:cs="Arial" w:eastAsia="Arial" w:hAnsi="Arial"/>
          <w:color w:val="333333"/>
          <w:sz w:val="22"/>
          <w:szCs w:val="22"/>
        </w:rPr>
        <w:t xml:space="preserve">YouTube Channel: @linkingyourthinking</w:t>
      </w:r>
    </w:p>
    <w:p>
      <w:pPr>
        <w:pStyle w:val="ListParagraph"/>
        <w:numPr>
          <w:ilvl w:val="0"/>
          <w:numId w:val="2"/>
        </w:numPr>
        <w:spacing w:after="80" w:line="312"/>
      </w:pPr>
      <w:r>
        <w:rPr>
          <w:rFonts w:ascii="Arial" w:cs="Arial" w:eastAsia="Arial" w:hAnsi="Arial"/>
          <w:color w:val="333333"/>
          <w:sz w:val="22"/>
          <w:szCs w:val="22"/>
        </w:rPr>
        <w:t xml:space="preserve">Milo, N. (2021). “My PKM Story” — Medium: https://medium.com/@nickmilo22</w:t>
      </w:r>
    </w:p>
    <w:p>
      <w:pPr>
        <w:pStyle w:val="ListParagraph"/>
        <w:numPr>
          <w:ilvl w:val="0"/>
          <w:numId w:val="2"/>
        </w:numPr>
        <w:spacing w:after="80" w:line="312"/>
      </w:pPr>
      <w:r>
        <w:rPr>
          <w:rFonts w:ascii="Arial" w:cs="Arial" w:eastAsia="Arial" w:hAnsi="Arial"/>
          <w:color w:val="333333"/>
          <w:sz w:val="22"/>
          <w:szCs w:val="22"/>
        </w:rPr>
        <w:t xml:space="preserve">Milo, N. (2021). “Reflecting on the Age of the Linked Note” — Medium.</w:t>
      </w:r>
    </w:p>
    <w:p>
      <w:pPr>
        <w:pStyle w:val="ListParagraph"/>
        <w:numPr>
          <w:ilvl w:val="0"/>
          <w:numId w:val="2"/>
        </w:numPr>
        <w:spacing w:after="80" w:line="312"/>
      </w:pPr>
      <w:r>
        <w:rPr>
          <w:rFonts w:ascii="Arial" w:cs="Arial" w:eastAsia="Arial" w:hAnsi="Arial"/>
          <w:color w:val="333333"/>
          <w:sz w:val="22"/>
          <w:szCs w:val="22"/>
        </w:rPr>
        <w:t xml:space="preserve">Twitter/X: @NickMilo</w:t>
      </w:r>
    </w:p>
    <w:p>
      <w:pPr>
        <w:spacing w:after="120"/>
      </w:pPr>
    </w:p>
    <w:p>
      <w:pPr>
        <w:pStyle w:val="Heading2"/>
        <w:spacing w:before="280" w:after="160"/>
      </w:pPr>
      <w:r>
        <w:rPr>
          <w:rFonts w:ascii="Arial" w:cs="Arial" w:eastAsia="Arial" w:hAnsi="Arial"/>
          <w:b/>
          <w:bCs/>
          <w:color w:val="2E75B6"/>
          <w:sz w:val="26"/>
          <w:szCs w:val="26"/>
        </w:rPr>
        <w:t xml:space="preserve">Supplementary Sources</w:t>
      </w:r>
    </w:p>
    <w:p>
      <w:pPr>
        <w:pStyle w:val="ListParagraph"/>
        <w:numPr>
          <w:ilvl w:val="0"/>
          <w:numId w:val="2"/>
        </w:numPr>
        <w:spacing w:after="80" w:line="312"/>
      </w:pPr>
      <w:r>
        <w:rPr>
          <w:rFonts w:ascii="Arial" w:cs="Arial" w:eastAsia="Arial" w:hAnsi="Arial"/>
          <w:color w:val="333333"/>
          <w:sz w:val="22"/>
          <w:szCs w:val="22"/>
        </w:rPr>
        <w:t xml:space="preserve">Paul, A. M. (2021). The Extended Mind: The Power of Thinking Outside the Brain. Houghton Mifflin Harcourt.</w:t>
      </w:r>
    </w:p>
    <w:p>
      <w:pPr>
        <w:pStyle w:val="ListParagraph"/>
        <w:numPr>
          <w:ilvl w:val="0"/>
          <w:numId w:val="2"/>
        </w:numPr>
        <w:spacing w:after="80" w:line="312"/>
      </w:pPr>
      <w:r>
        <w:rPr>
          <w:rFonts w:ascii="Arial" w:cs="Arial" w:eastAsia="Arial" w:hAnsi="Arial"/>
          <w:color w:val="333333"/>
          <w:sz w:val="22"/>
          <w:szCs w:val="22"/>
        </w:rPr>
        <w:t xml:space="preserve">Clark, A. &amp; Chalmers, D. (1998). “The Extended Mind.” Analysis, 58(1), 7–19.</w:t>
      </w:r>
    </w:p>
    <w:p>
      <w:pPr>
        <w:pStyle w:val="ListParagraph"/>
        <w:numPr>
          <w:ilvl w:val="0"/>
          <w:numId w:val="2"/>
        </w:numPr>
        <w:spacing w:after="80" w:line="312"/>
      </w:pPr>
      <w:r>
        <w:rPr>
          <w:rFonts w:ascii="Arial" w:cs="Arial" w:eastAsia="Arial" w:hAnsi="Arial"/>
          <w:color w:val="333333"/>
          <w:sz w:val="22"/>
          <w:szCs w:val="22"/>
        </w:rPr>
        <w:t xml:space="preserve">Obsidian: https://obsidian.md</w:t>
      </w:r>
    </w:p>
    <w:p>
      <w:pPr>
        <w:pStyle w:val="ListParagraph"/>
        <w:numPr>
          <w:ilvl w:val="0"/>
          <w:numId w:val="2"/>
        </w:numPr>
        <w:spacing w:after="80" w:line="312"/>
      </w:pPr>
      <w:r>
        <w:rPr>
          <w:rFonts w:ascii="Arial" w:cs="Arial" w:eastAsia="Arial" w:hAnsi="Arial"/>
          <w:color w:val="333333"/>
          <w:sz w:val="22"/>
          <w:szCs w:val="22"/>
        </w:rPr>
        <w:t xml:space="preserve">Asana Anatomy of Work Index (referenced by Tom Solid for the 60% “work about work” statistic).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spacing w:after="0"/>
      <w:jc w:val="right"/>
    </w:pPr>
    <w:r>
      <w:rPr>
        <w:rFonts w:ascii="Arial" w:cs="Arial" w:eastAsia="Arial" w:hAnsi="Arial"/>
        <w:i/>
        <w:iCs/>
        <w:color w:val="888888"/>
        <w:sz w:val="16"/>
        <w:szCs w:val="16"/>
      </w:rPr>
      <w:t xml:space="preserve">The Unified PKM Framework: ICOR® × LYT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2026-03-14T15:13:35.054Z</dcterms:created>
  <dcterms:modified xsi:type="dcterms:W3CDTF">2026-03-14T15:13:35.056Z</dcterms:modified>
</cp:coreProperties>
</file>

<file path=docProps/custom.xml><?xml version="1.0" encoding="utf-8"?>
<Properties xmlns="http://schemas.openxmlformats.org/officeDocument/2006/custom-properties" xmlns:vt="http://schemas.openxmlformats.org/officeDocument/2006/docPropsVTypes"/>
</file>