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534AB7"/>
          <w:sz w:val="60"/>
          <w:szCs w:val="60"/>
        </w:rPr>
        <w:t xml:space="preserve">CONSTELLATION</w:t>
      </w:r>
    </w:p>
    <w:p>
      <w:pPr>
        <w:spacing w:after="200"/>
        <w:jc w:val="center"/>
      </w:pPr>
      <w:r>
        <w:rPr>
          <w:rFonts w:ascii="Arial" w:cs="Arial" w:eastAsia="Arial" w:hAnsi="Arial"/>
          <w:color w:val="888780"/>
          <w:sz w:val="36"/>
          <w:szCs w:val="36"/>
        </w:rPr>
        <w:t xml:space="preserve">Logo Identity System</w:t>
      </w:r>
    </w:p>
    <w:p>
      <w:pPr>
        <w:spacing w:after="80"/>
        <w:jc w:val="center"/>
      </w:pPr>
      <w:r>
        <w:rPr>
          <w:rFonts w:ascii="Arial" w:cs="Arial" w:eastAsia="Arial" w:hAnsi="Arial"/>
          <w:color w:val="888780"/>
          <w:sz w:val="28"/>
          <w:szCs w:val="28"/>
        </w:rPr>
        <w:t xml:space="preserve">Concept Paper</w:t>
      </w:r>
    </w:p>
    <w:p>
      <w:pPr>
        <w:spacing w:after="600"/>
        <w:jc w:val="center"/>
      </w:pPr>
      <w:r>
        <w:rPr>
          <w:rFonts w:ascii="Arial" w:cs="Arial" w:eastAsia="Arial" w:hAnsi="Arial"/>
          <w:color w:val="888780"/>
          <w:sz w:val="22"/>
          <w:szCs w:val="22"/>
        </w:rPr>
        <w:t xml:space="preserve">Version 1.0 — March 2026</w:t>
      </w:r>
    </w:p>
    <w:p>
      <w:pPr>
        <w:pBdr>
          <w:top w:val="single" w:color="534AB7" w:sz="6" w:space="12"/>
        </w:pBdr>
        <w:spacing w:after="0"/>
        <w:jc w:val="center"/>
      </w:pPr>
    </w:p>
    <w:p>
      <w:pPr>
        <w:spacing w:after="300"/>
      </w:pPr>
    </w:p>
    <w:p>
      <w:pPr>
        <w:spacing w:after="100"/>
        <w:jc w:val="center"/>
      </w:pPr>
      <w:r>
        <w:rPr>
          <w:rFonts w:ascii="Arial" w:cs="Arial" w:eastAsia="Arial" w:hAnsi="Arial"/>
          <w:i/>
          <w:iCs/>
          <w:color w:val="888780"/>
          <w:sz w:val="24"/>
          <w:szCs w:val="24"/>
        </w:rPr>
        <w:t xml:space="preserve">A Universe for Your Knowledge</w:t>
      </w:r>
    </w:p>
    <w:p>
      <w:pPr>
        <w:spacing w:after="100"/>
        <w:jc w:val="center"/>
      </w:pPr>
      <w:r>
        <w:rPr>
          <w:rFonts w:ascii="Arial" w:cs="Arial" w:eastAsia="Arial" w:hAnsi="Arial"/>
          <w:color w:val="2C2C2A"/>
          <w:sz w:val="22"/>
          <w:szCs w:val="22"/>
        </w:rPr>
        <w:t xml:space="preserve">Developed by Eisa ALSHAMSI</w:t>
      </w:r>
    </w:p>
    <w:p>
      <w:pPr>
        <w:spacing w:after="100"/>
        <w:jc w:val="center"/>
      </w:pPr>
      <w:r>
        <w:rPr>
          <w:rFonts w:ascii="Arial" w:cs="Arial" w:eastAsia="Arial" w:hAnsi="Arial"/>
          <w:color w:val="2C2C2A"/>
          <w:sz w:val="22"/>
          <w:szCs w:val="22"/>
        </w:rPr>
        <w:t xml:space="preserve">طُوّر بواسطة: عيسى الشامسي</w:t>
      </w:r>
    </w:p>
    <w:p>
      <w:pPr>
        <w:spacing w:after="200"/>
        <w:jc w:val="center"/>
      </w:pPr>
      <w:r>
        <w:rPr>
          <w:rFonts w:ascii="Arial" w:cs="Arial" w:eastAsia="Arial" w:hAnsi="Arial"/>
          <w:color w:val="888780"/>
          <w:sz w:val="20"/>
          <w:szCs w:val="20"/>
        </w:rPr>
        <w:t xml:space="preserve">Open Source — MIT License</w:t>
      </w:r>
    </w:p>
    <w:p>
      <w:pPr>
        <w:sectPr>
          <w:pgSz w:w="12240" w:h="15840" w:orient="portrait"/>
          <w:pgMar w:top="288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200"/>
        <w:jc w:val="left"/>
      </w:pPr>
      <w:r>
        <w:rPr>
          <w:rFonts w:ascii="Arial" w:cs="Arial" w:eastAsia="Arial" w:hAnsi="Arial"/>
          <w:b w:val="false"/>
          <w:bCs w:val="false"/>
          <w:i w:val="false"/>
          <w:iCs w:val="false"/>
          <w:color w:val="2C2C2A"/>
          <w:sz w:val="24"/>
          <w:szCs w:val="24"/>
        </w:rPr>
        <w:t xml:space="preserve">This document defines the visual identity system for Constellation, a desktop knowledge management platform built on Tauri v2, SvelteKit, and Svelte 5 with a Rust backend. Constellation introduces the Universe model — a portable, self-contained workspace that unifies multiple Markdown libraries, structured databases, AI assistance, task management, and calendar views into a single coherent experience.</w:t>
      </w:r>
    </w:p>
    <w:p>
      <w:pPr>
        <w:spacing w:after="200"/>
        <w:jc w:val="left"/>
      </w:pPr>
      <w:r>
        <w:rPr>
          <w:rFonts w:ascii="Arial" w:cs="Arial" w:eastAsia="Arial" w:hAnsi="Arial"/>
          <w:b w:val="false"/>
          <w:bCs w:val="false"/>
          <w:i w:val="false"/>
          <w:iCs w:val="false"/>
          <w:color w:val="2C2C2A"/>
          <w:sz w:val="24"/>
          <w:szCs w:val="24"/>
        </w:rPr>
        <w:t xml:space="preserve">The logo mark is designed to embody Constellation’s core philosophy: interconnected knowledge orbiting a central workspace. It must communicate openness, portability, multilingual support (15 languages including 4 RTL), and the unique multi-library architecture that sets Constellation apart from every other tool in its category.</w:t>
      </w:r>
    </w:p>
    <w:p>
      <w:pPr>
        <w:pStyle w:val="Heading1"/>
      </w:pPr>
      <w:r>
        <w:rPr>
          <w:rFonts w:ascii="Arial" w:cs="Arial" w:eastAsia="Arial" w:hAnsi="Arial"/>
        </w:rPr>
        <w:t xml:space="preserve">2. Design Philosophy</w:t>
      </w:r>
    </w:p>
    <w:p>
      <w:pPr>
        <w:pStyle w:val="Heading2"/>
      </w:pPr>
      <w:r>
        <w:rPr>
          <w:rFonts w:ascii="Arial" w:cs="Arial" w:eastAsia="Arial" w:hAnsi="Arial"/>
        </w:rPr>
        <w:t xml:space="preserve">2.1 Conceptual Foundation</w:t>
      </w:r>
    </w:p>
    <w:p>
      <w:pPr>
        <w:spacing w:after="200"/>
        <w:jc w:val="left"/>
      </w:pPr>
      <w:r>
        <w:rPr>
          <w:rFonts w:ascii="Arial" w:cs="Arial" w:eastAsia="Arial" w:hAnsi="Arial"/>
          <w:b w:val="false"/>
          <w:bCs w:val="false"/>
          <w:i w:val="false"/>
          <w:iCs w:val="false"/>
          <w:color w:val="2C2C2A"/>
          <w:sz w:val="24"/>
          <w:szCs w:val="24"/>
        </w:rPr>
        <w:t xml:space="preserve">The Constellation mark draws its visual language from two converging metaphors: the astronomical constellation (stars connected into meaning) and the product’s Universe architecture (a central workspace with orbiting libraries). The result is a compact cluster of five solid circles arranged asymmetrically around a luminous core — each circle a distinct color, each representing a pillar of the platform.</w:t>
      </w:r>
    </w:p>
    <w:p>
      <w:pPr>
        <w:pStyle w:val="Heading2"/>
      </w:pPr>
      <w:r>
        <w:rPr>
          <w:rFonts w:ascii="Arial" w:cs="Arial" w:eastAsia="Arial" w:hAnsi="Arial"/>
        </w:rPr>
        <w:t xml:space="preserve">2.2 Design Principles</w:t>
      </w:r>
    </w:p>
    <w:p>
      <w:pPr>
        <w:pStyle w:val="ListParagraph"/>
        <w:numPr>
          <w:ilvl w:val="0"/>
          <w:numId w:val="2"/>
        </w:numPr>
        <w:spacing w:after="120"/>
      </w:pPr>
      <w:r>
        <w:rPr>
          <w:rFonts w:ascii="Arial" w:cs="Arial" w:eastAsia="Arial" w:hAnsi="Arial"/>
          <w:b/>
          <w:bCs/>
        </w:rPr>
        <w:t xml:space="preserve">Asymmetry over symmetry. </w:t>
      </w:r>
      <w:r>
        <w:rPr>
          <w:rFonts w:ascii="Arial" w:cs="Arial" w:eastAsia="Arial" w:hAnsi="Arial"/>
        </w:rPr>
        <w:t xml:space="preserve">The node arrangement avoids mirror symmetry to feel organic and dynamic, like a real star cluster.</w:t>
      </w:r>
    </w:p>
    <w:p>
      <w:pPr>
        <w:pStyle w:val="ListParagraph"/>
        <w:numPr>
          <w:ilvl w:val="0"/>
          <w:numId w:val="2"/>
        </w:numPr>
        <w:spacing w:after="120"/>
      </w:pPr>
      <w:r>
        <w:rPr>
          <w:rFonts w:ascii="Arial" w:cs="Arial" w:eastAsia="Arial" w:hAnsi="Arial"/>
          <w:b/>
          <w:bCs/>
        </w:rPr>
        <w:t xml:space="preserve">Hierarchy through scale. </w:t>
      </w:r>
      <w:r>
        <w:rPr>
          <w:rFonts w:ascii="Arial" w:cs="Arial" w:eastAsia="Arial" w:hAnsi="Arial"/>
        </w:rPr>
        <w:t xml:space="preserve">Node sizes descend from the core outward, encoding the architectural relationship: Universe &gt; search &gt; notes &gt; databases &gt; focus.</w:t>
      </w:r>
    </w:p>
    <w:p>
      <w:pPr>
        <w:pStyle w:val="ListParagraph"/>
        <w:numPr>
          <w:ilvl w:val="0"/>
          <w:numId w:val="2"/>
        </w:numPr>
        <w:spacing w:after="120"/>
      </w:pPr>
      <w:r>
        <w:rPr>
          <w:rFonts w:ascii="Arial" w:cs="Arial" w:eastAsia="Arial" w:hAnsi="Arial"/>
          <w:b/>
          <w:bCs/>
        </w:rPr>
        <w:t xml:space="preserve">Meaning through color. </w:t>
      </w:r>
      <w:r>
        <w:rPr>
          <w:rFonts w:ascii="Arial" w:cs="Arial" w:eastAsia="Arial" w:hAnsi="Arial"/>
        </w:rPr>
        <w:t xml:space="preserve">Each of the five nodes carries a fixed semantic color tied to a product capability. Color is never decorative — it encodes function.</w:t>
      </w:r>
    </w:p>
    <w:p>
      <w:pPr>
        <w:pStyle w:val="ListParagraph"/>
        <w:numPr>
          <w:ilvl w:val="0"/>
          <w:numId w:val="2"/>
        </w:numPr>
        <w:spacing w:after="120"/>
      </w:pPr>
      <w:r>
        <w:rPr>
          <w:rFonts w:ascii="Arial" w:cs="Arial" w:eastAsia="Arial" w:hAnsi="Arial"/>
          <w:b/>
          <w:bCs/>
        </w:rPr>
        <w:t xml:space="preserve">Scalability. </w:t>
      </w:r>
      <w:r>
        <w:rPr>
          <w:rFonts w:ascii="Arial" w:cs="Arial" w:eastAsia="Arial" w:hAnsi="Arial"/>
        </w:rPr>
        <w:t xml:space="preserve">The mark is composed entirely of circles, which render crisply at any resolution from 16px favicon to large-format print.</w:t>
      </w:r>
    </w:p>
    <w:p>
      <w:pPr>
        <w:pStyle w:val="ListParagraph"/>
        <w:numPr>
          <w:ilvl w:val="0"/>
          <w:numId w:val="2"/>
        </w:numPr>
        <w:spacing w:after="200"/>
      </w:pPr>
      <w:r>
        <w:rPr>
          <w:rFonts w:ascii="Arial" w:cs="Arial" w:eastAsia="Arial" w:hAnsi="Arial"/>
          <w:b/>
          <w:bCs/>
        </w:rPr>
        <w:t xml:space="preserve">Dual-mode readability. </w:t>
      </w:r>
      <w:r>
        <w:rPr>
          <w:rFonts w:ascii="Arial" w:cs="Arial" w:eastAsia="Arial" w:hAnsi="Arial"/>
        </w:rPr>
        <w:t xml:space="preserve">The core node inverts between light and dark contexts (white on dark, deep purple on light) to maintain contrast in all environments.</w:t>
      </w:r>
    </w:p>
    <w:p>
      <w:pPr>
        <w:pStyle w:val="Heading2"/>
      </w:pPr>
      <w:r>
        <w:rPr>
          <w:rFonts w:ascii="Arial" w:cs="Arial" w:eastAsia="Arial" w:hAnsi="Arial"/>
        </w:rPr>
        <w:t xml:space="preserve">2.3 Symbolism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Element</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Color</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Semantic Role</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Product Pillar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(double circle)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#EEEDFE / #FFFFFF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Central workspace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Universe</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Large node (r:24)</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#378ADD (Blue)</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Discovery and linking</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Cross-library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node (r:20)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#7F77DD (Purple)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Knowledge and thought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Notes and libraries</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Small node (r:16)</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#1D9E75 (Teal)</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Structure and order</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Databases and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Smallest node (r:13)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#D85A30 (Coral)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energy and focus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assistance</w:t>
            </w:r>
          </w:p>
        </w:tc>
      </w:tr>
    </w:tbl>
    <w:p>
      <w:r>
        <w:br w:type="page"/>
      </w:r>
    </w:p>
    <w:p>
      <w:pPr>
        <w:pStyle w:val="Heading1"/>
      </w:pPr>
      <w:r>
        <w:rPr>
          <w:rFonts w:ascii="Arial" w:cs="Arial" w:eastAsia="Arial" w:hAnsi="Arial"/>
        </w:rPr>
        <w:t xml:space="preserve">3. Mark Construction</w:t>
      </w:r>
    </w:p>
    <w:p>
      <w:pPr>
        <w:pStyle w:val="Heading2"/>
      </w:pPr>
      <w:r>
        <w:rPr>
          <w:rFonts w:ascii="Arial" w:cs="Arial" w:eastAsia="Arial" w:hAnsi="Arial"/>
        </w:rPr>
        <w:t xml:space="preserve">3.1 Arrangement: Top-Heavy Drift (A)</w:t>
      </w:r>
    </w:p>
    <w:p>
      <w:pPr>
        <w:spacing w:after="200"/>
        <w:jc w:val="left"/>
      </w:pPr>
      <w:r>
        <w:rPr>
          <w:rFonts w:ascii="Arial" w:cs="Arial" w:eastAsia="Arial" w:hAnsi="Arial"/>
          <w:b w:val="false"/>
          <w:bCs w:val="false"/>
          <w:i w:val="false"/>
          <w:iCs w:val="false"/>
          <w:color w:val="2C2C2A"/>
          <w:sz w:val="24"/>
          <w:szCs w:val="24"/>
        </w:rPr>
        <w:t xml:space="preserve">The final arrangement places the two largest satellite nodes in the upper-left quadrant, with the remaining two trailing to the lower-right and lower-left. This creates a natural gravitational drift — the cluster appears to be in motion, pulled upward and leftward, while the core anchors the composition at the geometric center.</w:t>
      </w:r>
    </w:p>
    <w:p>
      <w:pPr>
        <w:spacing w:after="200"/>
        <w:jc w:val="left"/>
      </w:pPr>
      <w:r>
        <w:rPr>
          <w:rFonts w:ascii="Arial" w:cs="Arial" w:eastAsia="Arial" w:hAnsi="Arial"/>
          <w:b w:val="false"/>
          <w:bCs w:val="false"/>
          <w:i w:val="false"/>
          <w:iCs w:val="false"/>
          <w:color w:val="2C2C2A"/>
          <w:sz w:val="24"/>
          <w:szCs w:val="24"/>
        </w:rPr>
        <w:t xml:space="preserve">This arrangement was selected specifically to avoid bilateral symmetry, which in early iterations produced an unintended resemblance to a cartoon character silhouette. The asymmetric layout reads as organic and celestial rather than constructed.</w:t>
      </w:r>
    </w:p>
    <w:p>
      <w:pPr>
        <w:pStyle w:val="Heading2"/>
      </w:pPr>
      <w:r>
        <w:rPr>
          <w:rFonts w:ascii="Arial" w:cs="Arial" w:eastAsia="Arial" w:hAnsi="Arial"/>
        </w:rPr>
        <w:t xml:space="preserve">3.2 Node Coordinates (Relative to Core Center at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Node</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X</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Y</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Radius</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Color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(outer)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#EEEDFE</w:t>
            </w:r>
          </w:p>
        </w:tc>
      </w:tr>
      <w:tr>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Core (inner)</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19</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#FFFFFF</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#378ADD</w:t>
            </w:r>
          </w:p>
        </w:tc>
      </w:tr>
      <w:tr>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Purple</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30</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-48</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20</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#7F77DD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#1D9E75</w:t>
            </w:r>
          </w:p>
        </w:tc>
      </w:tr>
      <w:tr>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Coral</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-20</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58</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13</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#D85A30</w:t>
            </w:r>
          </w:p>
        </w:tc>
      </w:tr>
    </w:tbl>
    <w:p>
      <w:pPr>
        <w:spacing w:after="100"/>
      </w:pPr>
    </w:p>
    <w:p>
      <w:pPr>
        <w:spacing w:after="200"/>
        <w:jc w:val="left"/>
      </w:pPr>
      <w:r>
        <w:rPr>
          <w:rFonts w:ascii="Arial" w:cs="Arial" w:eastAsia="Arial" w:hAnsi="Arial"/>
          <w:b w:val="false"/>
          <w:bCs w:val="false"/>
          <w:i w:val="false"/>
          <w:iCs w:val="false"/>
          <w:color w:val="2C2C2A"/>
          <w:sz w:val="24"/>
          <w:szCs w:val="24"/>
        </w:rPr>
        <w:t xml:space="preserve">All coordinates are unitless and scale proportionally. The coordinate system origin (0,0) is the center of the core node. Negative X is left, negative Y is up (standard SVG coordinate space).</w:t>
      </w:r>
    </w:p>
    <w:p>
      <w:pPr>
        <w:pStyle w:val="Heading2"/>
      </w:pPr>
      <w:r>
        <w:rPr>
          <w:rFonts w:ascii="Arial" w:cs="Arial" w:eastAsia="Arial" w:hAnsi="Arial"/>
        </w:rPr>
        <w:t xml:space="preserve">3.3 Proportional Ratios</w:t>
      </w:r>
    </w:p>
    <w:p>
      <w:pPr>
        <w:spacing w:after="200"/>
        <w:jc w:val="left"/>
      </w:pPr>
      <w:r>
        <w:rPr>
          <w:rFonts w:ascii="Arial" w:cs="Arial" w:eastAsia="Arial" w:hAnsi="Arial"/>
          <w:b w:val="false"/>
          <w:bCs w:val="false"/>
          <w:i w:val="false"/>
          <w:iCs w:val="false"/>
          <w:color w:val="2C2C2A"/>
          <w:sz w:val="24"/>
          <w:szCs w:val="24"/>
        </w:rPr>
        <w:t xml:space="preserve">The node radii follow a descending ratio anchored to the core outer radius (30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Node</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Radius</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Ratio to Core</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Scale Factor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outer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Blue</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24</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0.80</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0.67×</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Teal</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16</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0.53</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0.53×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0.43×</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Core inner</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19</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0.63</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0.63×</w:t>
            </w:r>
          </w:p>
        </w:tc>
      </w:tr>
    </w:tbl>
    <w:p>
      <w:pPr>
        <w:spacing w:after="100"/>
      </w:pPr>
    </w:p>
    <w:p>
      <w:pPr>
        <w:spacing w:after="200"/>
        <w:jc w:val="left"/>
      </w:pPr>
      <w:r>
        <w:rPr>
          <w:rFonts w:ascii="Arial" w:cs="Arial" w:eastAsia="Arial" w:hAnsi="Arial"/>
          <w:b w:val="false"/>
          <w:bCs w:val="false"/>
          <w:i w:val="false"/>
          <w:iCs w:val="false"/>
          <w:color w:val="2C2C2A"/>
          <w:sz w:val="24"/>
          <w:szCs w:val="24"/>
        </w:rPr>
        <w:t xml:space="preserve">When scaling the mark, multiply all radii and coordinates by the same factor to maintain proportions. The minimum recommended size is 16×16 pixels for favicon use, at which point the satellite node radii round to 2–3 pixels.</w:t>
      </w:r>
    </w:p>
    <w:p>
      <w:r>
        <w:br w:type="page"/>
      </w:r>
    </w:p>
    <w:p>
      <w:pPr>
        <w:pStyle w:val="Heading1"/>
      </w:pPr>
      <w:r>
        <w:rPr>
          <w:rFonts w:ascii="Arial" w:cs="Arial" w:eastAsia="Arial" w:hAnsi="Arial"/>
        </w:rPr>
        <w:t xml:space="preserve">4. Color System</w:t>
      </w:r>
    </w:p>
    <w:p>
      <w:pPr>
        <w:pStyle w:val="Heading2"/>
      </w:pPr>
      <w:r>
        <w:rPr>
          <w:rFonts w:ascii="Arial" w:cs="Arial" w:eastAsia="Arial" w:hAnsi="Arial"/>
        </w:rPr>
        <w:t xml:space="preserve">4.1 Brand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Name</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Hex</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Role</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RGB</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HSL (approx.)</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Usage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Purple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#534AB7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brand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83, 74, 183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245°, 42%, 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on light bg, branded fills</w:t>
            </w:r>
          </w:p>
        </w:tc>
      </w:tr>
      <w:tr>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Deep Purple</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#3C3489</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Secondary</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60, 52, 137</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246°, 45%, 37%</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Core inner on light bg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#378ADD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Search/Links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55, 138, 221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210°, 72%, 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 satellite node</w:t>
            </w:r>
          </w:p>
        </w:tc>
      </w:tr>
      <w:tr>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Purple</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#7F77DD</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Notes</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127, 119, 221</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245°, 57%, 67%</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Purple satellite node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#1D9E75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29, 158, 117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161°, 69%, 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Teal satellite node</w:t>
            </w:r>
          </w:p>
        </w:tc>
      </w:tr>
      <w:tr>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Coral</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#D85A30</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AI/Focus</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216, 90, 48</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15°, 65%, 52%</w:t>
            </w:r>
          </w:p>
        </w:tc>
        <w:tc>
          <w:tcPr>
            <w:tcW w:type="dxa" w:w="15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Coral satellite node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Lavender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#EEEDFE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fill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238, 237, 254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244°, 68%, 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outer on dark bg</w:t>
            </w:r>
          </w:p>
        </w:tc>
      </w:tr>
    </w:tbl>
    <w:p>
      <w:pPr>
        <w:pStyle w:val="Heading2"/>
      </w:pPr>
      <w:r>
        <w:rPr>
          <w:rFonts w:ascii="Arial" w:cs="Arial" w:eastAsia="Arial" w:hAnsi="Arial"/>
        </w:rPr>
        <w:t xml:space="preserve">4.2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Background</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Hex</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Context</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Core Treatment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default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#2D2B3D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 UI dark mode, splash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(#EEEDFE / #FFF)</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Deep space</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#13111D</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Title bar dark, premium</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White (#EEEDFE / #FFF)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Branded purple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#534AB7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Marketing, app icon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(#EEEDFE / #FFF)</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Light warm</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#F4F3EF</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Light mode UI, print</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Purple (#534AB7 / #3C3489)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Pure white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#FFFFFF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Documents,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Purple (#534AB7 / #3C3489)</w:t>
            </w:r>
          </w:p>
        </w:tc>
      </w:tr>
    </w:tbl>
    <w:p>
      <w:pPr>
        <w:pStyle w:val="Heading2"/>
      </w:pPr>
      <w:r>
        <w:rPr>
          <w:rFonts w:ascii="Arial" w:cs="Arial" w:eastAsia="Arial" w:hAnsi="Arial"/>
        </w:rPr>
        <w:t xml:space="preserve">4.3 Adaptive Core Behavior</w:t>
      </w:r>
    </w:p>
    <w:p>
      <w:pPr>
        <w:spacing w:after="200"/>
        <w:jc w:val="left"/>
      </w:pPr>
      <w:r>
        <w:rPr>
          <w:rFonts w:ascii="Arial" w:cs="Arial" w:eastAsia="Arial" w:hAnsi="Arial"/>
          <w:b w:val="false"/>
          <w:bCs w:val="false"/>
          <w:i w:val="false"/>
          <w:iCs w:val="false"/>
          <w:color w:val="2C2C2A"/>
          <w:sz w:val="24"/>
          <w:szCs w:val="24"/>
        </w:rPr>
        <w:t xml:space="preserve">The core node is the only element in the mark that changes between light and dark contexts. This ensures the center of the mark always has maximum contrast against its background:</w:t>
      </w:r>
    </w:p>
    <w:p>
      <w:pPr>
        <w:pStyle w:val="ListParagraph"/>
        <w:numPr>
          <w:ilvl w:val="0"/>
          <w:numId w:val="2"/>
        </w:numPr>
        <w:spacing w:after="120"/>
      </w:pPr>
      <w:r>
        <w:rPr>
          <w:rFonts w:ascii="Arial" w:cs="Arial" w:eastAsia="Arial" w:hAnsi="Arial"/>
          <w:b/>
          <w:bCs/>
        </w:rPr>
        <w:t xml:space="preserve">On dark backgrounds: </w:t>
      </w:r>
      <w:r>
        <w:rPr>
          <w:rFonts w:ascii="Arial" w:cs="Arial" w:eastAsia="Arial" w:hAnsi="Arial"/>
        </w:rPr>
        <w:t xml:space="preserve">Outer ring #EEEDFE (lavender), inner fill #FFFFFF (white). The core glows.</w:t>
      </w:r>
    </w:p>
    <w:p>
      <w:pPr>
        <w:pStyle w:val="ListParagraph"/>
        <w:numPr>
          <w:ilvl w:val="0"/>
          <w:numId w:val="2"/>
        </w:numPr>
        <w:spacing w:after="200"/>
      </w:pPr>
      <w:r>
        <w:rPr>
          <w:rFonts w:ascii="Arial" w:cs="Arial" w:eastAsia="Arial" w:hAnsi="Arial"/>
          <w:b/>
          <w:bCs/>
        </w:rPr>
        <w:t xml:space="preserve">On light backgrounds: </w:t>
      </w:r>
      <w:r>
        <w:rPr>
          <w:rFonts w:ascii="Arial" w:cs="Arial" w:eastAsia="Arial" w:hAnsi="Arial"/>
        </w:rPr>
        <w:t xml:space="preserve">Outer ring #534AB7 (core purple), inner fill #3C3489 (deep purple). The core anchors.</w:t>
      </w:r>
    </w:p>
    <w:p>
      <w:pPr>
        <w:spacing w:after="200"/>
        <w:jc w:val="left"/>
      </w:pPr>
      <w:r>
        <w:rPr>
          <w:rFonts w:ascii="Arial" w:cs="Arial" w:eastAsia="Arial" w:hAnsi="Arial"/>
          <w:b w:val="false"/>
          <w:bCs w:val="false"/>
          <w:i w:val="false"/>
          <w:iCs w:val="false"/>
          <w:color w:val="2C2C2A"/>
          <w:sz w:val="24"/>
          <w:szCs w:val="24"/>
        </w:rPr>
        <w:t xml:space="preserve">The four satellite nodes (blue, purple, teal, coral) remain constant across all backgrounds. They are chromatic enough to read against both dark and light surfaces without adjustment.</w:t>
      </w:r>
    </w:p>
    <w:p>
      <w:r>
        <w:br w:type="page"/>
      </w:r>
    </w:p>
    <w:p>
      <w:pPr>
        <w:pStyle w:val="Heading1"/>
      </w:pPr>
      <w:r>
        <w:rPr>
          <w:rFonts w:ascii="Arial" w:cs="Arial" w:eastAsia="Arial" w:hAnsi="Arial"/>
        </w:rPr>
        <w:t xml:space="preserve">5. Lockup System</w:t>
      </w:r>
    </w:p>
    <w:p>
      <w:pPr>
        <w:pStyle w:val="Heading2"/>
      </w:pPr>
      <w:r>
        <w:rPr>
          <w:rFonts w:ascii="Arial" w:cs="Arial" w:eastAsia="Arial" w:hAnsi="Arial"/>
        </w:rPr>
        <w:t xml:space="preserve">5.1 Primary Mark (Vertical)</w:t>
      </w:r>
    </w:p>
    <w:p>
      <w:pPr>
        <w:spacing w:after="200"/>
        <w:jc w:val="left"/>
      </w:pPr>
      <w:r>
        <w:rPr>
          <w:rFonts w:ascii="Arial" w:cs="Arial" w:eastAsia="Arial" w:hAnsi="Arial"/>
          <w:b w:val="false"/>
          <w:bCs w:val="false"/>
          <w:i w:val="false"/>
          <w:iCs w:val="false"/>
          <w:color w:val="2C2C2A"/>
          <w:sz w:val="24"/>
          <w:szCs w:val="24"/>
        </w:rPr>
        <w:t xml:space="preserve">The full mark centered above the wordmark, with the tagline below. Used for splash screens, about pages, and marketing materials where vertical space is available.</w:t>
      </w:r>
    </w:p>
    <w:p>
      <w:pPr>
        <w:pStyle w:val="ListParagraph"/>
        <w:numPr>
          <w:ilvl w:val="0"/>
          <w:numId w:val="2"/>
        </w:numPr>
        <w:spacing w:after="120"/>
      </w:pPr>
      <w:r>
        <w:rPr>
          <w:rFonts w:ascii="Arial" w:cs="Arial" w:eastAsia="Arial" w:hAnsi="Arial"/>
          <w:b/>
          <w:bCs/>
        </w:rPr>
        <w:t xml:space="preserve">Wordmark: </w:t>
      </w:r>
      <w:r>
        <w:rPr>
          <w:rFonts w:ascii="Arial" w:cs="Arial" w:eastAsia="Arial" w:hAnsi="Arial"/>
        </w:rPr>
        <w:t xml:space="preserve">"CONSTELLATION" — uppercase, 500 weight, letter-spacing 4px.</w:t>
      </w:r>
    </w:p>
    <w:p>
      <w:pPr>
        <w:pStyle w:val="ListParagraph"/>
        <w:numPr>
          <w:ilvl w:val="0"/>
          <w:numId w:val="2"/>
        </w:numPr>
        <w:spacing w:after="120"/>
      </w:pPr>
      <w:r>
        <w:rPr>
          <w:rFonts w:ascii="Arial" w:cs="Arial" w:eastAsia="Arial" w:hAnsi="Arial"/>
          <w:b/>
          <w:bCs/>
        </w:rPr>
        <w:t xml:space="preserve">Tagline: </w:t>
      </w:r>
      <w:r>
        <w:rPr>
          <w:rFonts w:ascii="Arial" w:cs="Arial" w:eastAsia="Arial" w:hAnsi="Arial"/>
        </w:rPr>
        <w:t xml:space="preserve">"A universe for your knowledge" — regular weight, letter-spacing 1.5px, muted color.</w:t>
      </w:r>
    </w:p>
    <w:p>
      <w:pPr>
        <w:pStyle w:val="ListParagraph"/>
        <w:numPr>
          <w:ilvl w:val="0"/>
          <w:numId w:val="2"/>
        </w:numPr>
        <w:spacing w:after="200"/>
      </w:pPr>
      <w:r>
        <w:rPr>
          <w:rFonts w:ascii="Arial" w:cs="Arial" w:eastAsia="Arial" w:hAnsi="Arial"/>
          <w:b/>
          <w:bCs/>
        </w:rPr>
        <w:t xml:space="preserve">Clear space: </w:t>
      </w:r>
      <w:r>
        <w:rPr>
          <w:rFonts w:ascii="Arial" w:cs="Arial" w:eastAsia="Arial" w:hAnsi="Arial"/>
        </w:rPr>
        <w:t xml:space="preserve">Minimum 1× core radius on all sides of the mark cluster.</w:t>
      </w:r>
    </w:p>
    <w:p>
      <w:pPr>
        <w:pStyle w:val="Heading2"/>
      </w:pPr>
      <w:r>
        <w:rPr>
          <w:rFonts w:ascii="Arial" w:cs="Arial" w:eastAsia="Arial" w:hAnsi="Arial"/>
        </w:rPr>
        <w:t xml:space="preserve">5.2 Horizontal Lockup</w:t>
      </w:r>
    </w:p>
    <w:p>
      <w:pPr>
        <w:spacing w:after="200"/>
        <w:jc w:val="left"/>
      </w:pPr>
      <w:r>
        <w:rPr>
          <w:rFonts w:ascii="Arial" w:cs="Arial" w:eastAsia="Arial" w:hAnsi="Arial"/>
          <w:b w:val="false"/>
          <w:bCs w:val="false"/>
          <w:i w:val="false"/>
          <w:iCs w:val="false"/>
          <w:color w:val="2C2C2A"/>
          <w:sz w:val="24"/>
          <w:szCs w:val="24"/>
        </w:rPr>
        <w:t xml:space="preserve">The mark to the left of the wordmark and tagline, stacked. Used for title bars, navigation headers, and inline branding. The mark is scaled so its vertical extent matches the combined height of the wordmark and tagline text.</w:t>
      </w:r>
    </w:p>
    <w:p>
      <w:pPr>
        <w:pStyle w:val="Heading2"/>
      </w:pPr>
      <w:r>
        <w:rPr>
          <w:rFonts w:ascii="Arial" w:cs="Arial" w:eastAsia="Arial" w:hAnsi="Arial"/>
        </w:rPr>
        <w:t xml:space="preserve">5.3 Compact Lockup</w:t>
      </w:r>
    </w:p>
    <w:p>
      <w:pPr>
        <w:spacing w:after="200"/>
        <w:jc w:val="left"/>
      </w:pPr>
      <w:r>
        <w:rPr>
          <w:rFonts w:ascii="Arial" w:cs="Arial" w:eastAsia="Arial" w:hAnsi="Arial"/>
          <w:b w:val="false"/>
          <w:bCs w:val="false"/>
          <w:i w:val="false"/>
          <w:iCs w:val="false"/>
          <w:color w:val="2C2C2A"/>
          <w:sz w:val="24"/>
          <w:szCs w:val="24"/>
        </w:rPr>
        <w:t xml:space="preserve">Mark adjacent to wordmark only (no tagline). Used where vertical space is constrained: title bars, tab headers, and browser tab titles.</w:t>
      </w:r>
    </w:p>
    <w:p>
      <w:pPr>
        <w:pStyle w:val="Heading2"/>
      </w:pPr>
      <w:r>
        <w:rPr>
          <w:rFonts w:ascii="Arial" w:cs="Arial" w:eastAsia="Arial" w:hAnsi="Arial"/>
        </w:rPr>
        <w:t xml:space="preserve">5.4 Icon-Only</w:t>
      </w:r>
    </w:p>
    <w:p>
      <w:pPr>
        <w:spacing w:after="200"/>
        <w:jc w:val="left"/>
      </w:pPr>
      <w:r>
        <w:rPr>
          <w:rFonts w:ascii="Arial" w:cs="Arial" w:eastAsia="Arial" w:hAnsi="Arial"/>
          <w:b w:val="false"/>
          <w:bCs w:val="false"/>
          <w:i w:val="false"/>
          <w:iCs w:val="false"/>
          <w:color w:val="2C2C2A"/>
          <w:sz w:val="24"/>
          <w:szCs w:val="24"/>
        </w:rPr>
        <w:t xml:space="preserve">The five-node cluster alone, without any text. Used for app icons, favicons, social media avatars, and contexts where the brand is already established by surrounding UI.</w:t>
      </w:r>
    </w:p>
    <w:p>
      <w:pPr>
        <w:pStyle w:val="Heading1"/>
      </w:pPr>
      <w:r>
        <w:rPr>
          <w:rFonts w:ascii="Arial" w:cs="Arial" w:eastAsia="Arial" w:hAnsi="Arial"/>
        </w:rPr>
        <w:t xml:space="preserve">6. App Icon Specifications</w:t>
      </w:r>
    </w:p>
    <w:p>
      <w:pPr>
        <w:pStyle w:val="Heading2"/>
      </w:pPr>
      <w:r>
        <w:rPr>
          <w:rFonts w:ascii="Arial" w:cs="Arial" w:eastAsia="Arial" w:hAnsi="Arial"/>
        </w:rPr>
        <w:t xml:space="preserve">6.1 Icon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Variant</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Background</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Core Style</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Satellite Style</w:t>
            </w:r>
          </w:p>
        </w:tc>
        <w:tc>
          <w:tcPr>
            <w:tcW w:type="dxa" w:w="1872"/>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Use Case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#2D2B3D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glow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 colors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desktop icon</w:t>
            </w:r>
          </w:p>
        </w:tc>
      </w:tr>
      <w:tr>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Branded</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#534AB7</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White glow</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Pastel variants</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Marketing, store listing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#13111D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glow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 colors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theme icon</w:t>
            </w:r>
          </w:p>
        </w:tc>
      </w:tr>
      <w:tr>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Light</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#F4F3EF</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Purple solid</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Brand colors</w:t>
            </w:r>
          </w:p>
        </w:tc>
        <w:tc>
          <w:tcPr>
            <w:tcW w:type="dxa" w:w="1872"/>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Light theme icon</w:t>
            </w:r>
          </w:p>
        </w:tc>
      </w:tr>
    </w:tbl>
    <w:p>
      <w:pPr>
        <w:pStyle w:val="Heading2"/>
      </w:pPr>
      <w:r>
        <w:rPr>
          <w:rFonts w:ascii="Arial" w:cs="Arial" w:eastAsia="Arial" w:hAnsi="Arial"/>
        </w:rPr>
        <w:t xml:space="preserve">6.2 Platform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Platform</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Required Sizes (px)</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Format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16, 24, 32, 48, 256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 (multi-res)</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macOS (.icns)</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16, 32, 128, 256, 512, 1024</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ICNS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16, 24, 48, 64, 128, 256, 512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PNG set</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Favicon</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16, 32, 180 (apple-touch)</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ICO + PNG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Tauri 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32x32, 128x128, 256x256 + .ico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PNG + ICO</w:t>
            </w:r>
          </w:p>
        </w:tc>
      </w:tr>
    </w:tbl>
    <w:p>
      <w:pPr>
        <w:pStyle w:val="Heading2"/>
      </w:pPr>
      <w:r>
        <w:rPr>
          <w:rFonts w:ascii="Arial" w:cs="Arial" w:eastAsia="Arial" w:hAnsi="Arial"/>
        </w:rPr>
        <w:t xml:space="preserve">6.3 Corner Radius</w:t>
      </w:r>
    </w:p>
    <w:p>
      <w:pPr>
        <w:spacing w:after="200"/>
        <w:jc w:val="left"/>
      </w:pPr>
      <w:r>
        <w:rPr>
          <w:rFonts w:ascii="Arial" w:cs="Arial" w:eastAsia="Arial" w:hAnsi="Arial"/>
          <w:b w:val="false"/>
          <w:bCs w:val="false"/>
          <w:i w:val="false"/>
          <w:iCs w:val="false"/>
          <w:color w:val="2C2C2A"/>
          <w:sz w:val="24"/>
          <w:szCs w:val="24"/>
        </w:rPr>
        <w:t xml:space="preserve">Icon backgrounds use platform-appropriate corner radii. For asset export, supply square PNG files and let each platform’s system mask handle the rounding. For marketing previews and this document, a radius of approximately 22% of the icon width is used (e.g., rx=24 on a 110px icon).</w:t>
      </w:r>
    </w:p>
    <w:p>
      <w:r>
        <w:br w:type="page"/>
      </w:r>
    </w:p>
    <w:p>
      <w:pPr>
        <w:pStyle w:val="Heading1"/>
      </w:pPr>
      <w:r>
        <w:rPr>
          <w:rFonts w:ascii="Arial" w:cs="Arial" w:eastAsia="Arial" w:hAnsi="Arial"/>
        </w:rPr>
        <w:t xml:space="preserve">7. Typography</w:t>
      </w:r>
    </w:p>
    <w:p>
      <w:pPr>
        <w:pStyle w:val="Heading2"/>
      </w:pPr>
      <w:r>
        <w:rPr>
          <w:rFonts w:ascii="Arial" w:cs="Arial" w:eastAsia="Arial" w:hAnsi="Arial"/>
        </w:rPr>
        <w:t xml:space="preserve">7.1 Wordmark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Property</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Primary Mark</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Compact / Title Bar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CONSTELLATION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CONSTELLATION</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Case</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All uppercase</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All uppercase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(Medium)</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Letter-spacing</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4px</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2px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Size (reference)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13px</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Color (dark bg)</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#E8E6DF</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#C2C0B6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 (light bg)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#2C2C2A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#2C2C2A</w:t>
            </w:r>
          </w:p>
        </w:tc>
      </w:tr>
    </w:tbl>
    <w:p>
      <w:pPr>
        <w:pStyle w:val="Heading2"/>
      </w:pPr>
      <w:r>
        <w:rPr>
          <w:rFonts w:ascii="Arial" w:cs="Arial" w:eastAsia="Arial" w:hAnsi="Arial"/>
        </w:rPr>
        <w:t xml:space="preserve">7.2 Tagline</w:t>
      </w:r>
    </w:p>
    <w:p>
      <w:pPr>
        <w:spacing w:after="200"/>
        <w:jc w:val="left"/>
      </w:pPr>
      <w:r>
        <w:rPr>
          <w:rFonts w:ascii="Arial" w:cs="Arial" w:eastAsia="Arial" w:hAnsi="Arial"/>
          <w:b w:val="false"/>
          <w:bCs w:val="false"/>
          <w:i w:val="false"/>
          <w:iCs w:val="false"/>
          <w:color w:val="2C2C2A"/>
          <w:sz w:val="24"/>
          <w:szCs w:val="24"/>
        </w:rPr>
        <w:t xml:space="preserve">"A universe for your knowledge" — regular weight (400), letter-spacing 1.5px, size 11px at reference scale. Color on dark backgrounds: #9C9A92. Color on light backgrounds: #888780. The tagline is optional in compact lockups and omitted entirely in icon-only use.</w:t>
      </w:r>
    </w:p>
    <w:p>
      <w:pPr>
        <w:pStyle w:val="Heading2"/>
      </w:pPr>
      <w:r>
        <w:rPr>
          <w:rFonts w:ascii="Arial" w:cs="Arial" w:eastAsia="Arial" w:hAnsi="Arial"/>
        </w:rPr>
        <w:t xml:space="preserve">7.3 Font Selection</w:t>
      </w:r>
    </w:p>
    <w:p>
      <w:pPr>
        <w:spacing w:after="200"/>
        <w:jc w:val="left"/>
      </w:pPr>
      <w:r>
        <w:rPr>
          <w:rFonts w:ascii="Arial" w:cs="Arial" w:eastAsia="Arial" w:hAnsi="Arial"/>
          <w:b w:val="false"/>
          <w:bCs w:val="false"/>
          <w:i w:val="false"/>
          <w:iCs w:val="false"/>
          <w:color w:val="2C2C2A"/>
          <w:sz w:val="24"/>
          <w:szCs w:val="24"/>
        </w:rPr>
        <w:t xml:space="preserve">The reference font used in this concept paper is a clean geometric sans-serif (system font stack). For production deployment in the Constellation application, the wordmark should be set in the application’s primary UI font to ensure visual consistency. The letterforms are simple enough that the mark reads correctly across sans-serif families including Inter, SF Pro, Segoe UI, and Noto Sans.</w:t>
      </w:r>
    </w:p>
    <w:p>
      <w:pPr>
        <w:pStyle w:val="Heading1"/>
      </w:pPr>
      <w:r>
        <w:rPr>
          <w:rFonts w:ascii="Arial" w:cs="Arial" w:eastAsia="Arial" w:hAnsi="Arial"/>
        </w:rPr>
        <w:t xml:space="preserve">8. Usage Guidelines</w:t>
      </w:r>
    </w:p>
    <w:p>
      <w:pPr>
        <w:pStyle w:val="Heading2"/>
      </w:pPr>
      <w:r>
        <w:rPr>
          <w:rFonts w:ascii="Arial" w:cs="Arial" w:eastAsia="Arial" w:hAnsi="Arial"/>
        </w:rPr>
        <w:t xml:space="preserve">8.1 Minimum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Context</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Minimum Size</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Icon-only 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16×16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Smallest satellite rounds to ~2px</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Horizontal lockup</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140px wide</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Mark + wordmark side by 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200px wide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vertical with tagline</w:t>
            </w:r>
          </w:p>
        </w:tc>
      </w:tr>
      <w:tr>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Print (icon-only)</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10mm × 10mm</w:t>
            </w:r>
          </w:p>
        </w:tc>
        <w:tc>
          <w:tcPr>
            <w:tcW w:type="dxa" w:w="312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Offset or digital print</w:t>
            </w:r>
          </w:p>
        </w:tc>
      </w:tr>
    </w:tbl>
    <w:p>
      <w:pPr>
        <w:pStyle w:val="Heading2"/>
      </w:pPr>
      <w:r>
        <w:rPr>
          <w:rFonts w:ascii="Arial" w:cs="Arial" w:eastAsia="Arial" w:hAnsi="Arial"/>
        </w:rPr>
        <w:t xml:space="preserve">8.2 Clear Space</w:t>
      </w:r>
    </w:p>
    <w:p>
      <w:pPr>
        <w:spacing w:after="200"/>
        <w:jc w:val="left"/>
      </w:pPr>
      <w:r>
        <w:rPr>
          <w:rFonts w:ascii="Arial" w:cs="Arial" w:eastAsia="Arial" w:hAnsi="Arial"/>
          <w:b w:val="false"/>
          <w:bCs w:val="false"/>
          <w:i w:val="false"/>
          <w:iCs w:val="false"/>
          <w:color w:val="2C2C2A"/>
          <w:sz w:val="24"/>
          <w:szCs w:val="24"/>
        </w:rPr>
        <w:t xml:space="preserve">The clear space around the mark cluster is defined as 1× the radius of the core outer circle (30 units at reference scale). No other graphic elements, text, or UI boundaries should encroach within this zone. For lockups, the clear space extends from the outermost extent of the combined mark-plus-wordmark composition.</w:t>
      </w:r>
    </w:p>
    <w:p>
      <w:pPr>
        <w:pStyle w:val="Heading2"/>
      </w:pPr>
      <w:r>
        <w:rPr>
          <w:rFonts w:ascii="Arial" w:cs="Arial" w:eastAsia="Arial" w:hAnsi="Arial"/>
        </w:rPr>
        <w:t xml:space="preserve">8.3 Prohibited Treatments</w:t>
      </w:r>
    </w:p>
    <w:p>
      <w:pPr>
        <w:pStyle w:val="ListParagraph"/>
        <w:numPr>
          <w:ilvl w:val="0"/>
          <w:numId w:val="2"/>
        </w:numPr>
        <w:spacing w:after="120"/>
      </w:pPr>
      <w:r>
        <w:rPr>
          <w:rFonts w:ascii="Arial" w:cs="Arial" w:eastAsia="Arial" w:hAnsi="Arial"/>
        </w:rPr>
        <w:t xml:space="preserve">Do not rotate the mark or any individual node.</w:t>
      </w:r>
    </w:p>
    <w:p>
      <w:pPr>
        <w:pStyle w:val="ListParagraph"/>
        <w:numPr>
          <w:ilvl w:val="0"/>
          <w:numId w:val="2"/>
        </w:numPr>
        <w:spacing w:after="120"/>
      </w:pPr>
      <w:r>
        <w:rPr>
          <w:rFonts w:ascii="Arial" w:cs="Arial" w:eastAsia="Arial" w:hAnsi="Arial"/>
        </w:rPr>
        <w:t xml:space="preserve">Do not add drop shadows, glows, outlines, or gradient fills to any node.</w:t>
      </w:r>
    </w:p>
    <w:p>
      <w:pPr>
        <w:pStyle w:val="ListParagraph"/>
        <w:numPr>
          <w:ilvl w:val="0"/>
          <w:numId w:val="2"/>
        </w:numPr>
        <w:spacing w:after="120"/>
      </w:pPr>
      <w:r>
        <w:rPr>
          <w:rFonts w:ascii="Arial" w:cs="Arial" w:eastAsia="Arial" w:hAnsi="Arial"/>
        </w:rPr>
        <w:t xml:space="preserve">Do not change the relative positions of the nodes.</w:t>
      </w:r>
    </w:p>
    <w:p>
      <w:pPr>
        <w:pStyle w:val="ListParagraph"/>
        <w:numPr>
          <w:ilvl w:val="0"/>
          <w:numId w:val="2"/>
        </w:numPr>
        <w:spacing w:after="120"/>
      </w:pPr>
      <w:r>
        <w:rPr>
          <w:rFonts w:ascii="Arial" w:cs="Arial" w:eastAsia="Arial" w:hAnsi="Arial"/>
        </w:rPr>
        <w:t xml:space="preserve">Do not swap node colors or reassign color meanings.</w:t>
      </w:r>
    </w:p>
    <w:p>
      <w:pPr>
        <w:pStyle w:val="ListParagraph"/>
        <w:numPr>
          <w:ilvl w:val="0"/>
          <w:numId w:val="2"/>
        </w:numPr>
        <w:spacing w:after="120"/>
      </w:pPr>
      <w:r>
        <w:rPr>
          <w:rFonts w:ascii="Arial" w:cs="Arial" w:eastAsia="Arial" w:hAnsi="Arial"/>
        </w:rPr>
        <w:t xml:space="preserve">Do not add additional nodes beyond the five defined in this system.</w:t>
      </w:r>
    </w:p>
    <w:p>
      <w:pPr>
        <w:pStyle w:val="ListParagraph"/>
        <w:numPr>
          <w:ilvl w:val="0"/>
          <w:numId w:val="2"/>
        </w:numPr>
        <w:spacing w:after="120"/>
      </w:pPr>
      <w:r>
        <w:rPr>
          <w:rFonts w:ascii="Arial" w:cs="Arial" w:eastAsia="Arial" w:hAnsi="Arial"/>
        </w:rPr>
        <w:t xml:space="preserve">Do not place the mark on busy photographic backgrounds without a solid or semi-transparent backdrop.</w:t>
      </w:r>
    </w:p>
    <w:p>
      <w:pPr>
        <w:pStyle w:val="ListParagraph"/>
        <w:numPr>
          <w:ilvl w:val="0"/>
          <w:numId w:val="2"/>
        </w:numPr>
        <w:spacing w:after="120"/>
      </w:pPr>
      <w:r>
        <w:rPr>
          <w:rFonts w:ascii="Arial" w:cs="Arial" w:eastAsia="Arial" w:hAnsi="Arial"/>
        </w:rPr>
        <w:t xml:space="preserve">Do not use the mark in monochrome (single-color) except for embossing, debossing, or watermark contexts where full color is technically impossible.</w:t>
      </w:r>
    </w:p>
    <w:p>
      <w:pPr>
        <w:pStyle w:val="ListParagraph"/>
        <w:numPr>
          <w:ilvl w:val="0"/>
          <w:numId w:val="2"/>
        </w:numPr>
        <w:spacing w:after="200"/>
      </w:pPr>
      <w:r>
        <w:rPr>
          <w:rFonts w:ascii="Arial" w:cs="Arial" w:eastAsia="Arial" w:hAnsi="Arial"/>
        </w:rPr>
        <w:t xml:space="preserve">Do not stretch, skew, or distort the mark.</w:t>
      </w:r>
    </w:p>
    <w:p>
      <w:r>
        <w:br w:type="page"/>
      </w:r>
    </w:p>
    <w:p>
      <w:pPr>
        <w:pStyle w:val="Heading1"/>
      </w:pPr>
      <w:r>
        <w:rPr>
          <w:rFonts w:ascii="Arial" w:cs="Arial" w:eastAsia="Arial" w:hAnsi="Arial"/>
        </w:rPr>
        <w:t xml:space="preserve">9. SVG Reference Implementation</w:t>
      </w:r>
    </w:p>
    <w:p>
      <w:pPr>
        <w:pStyle w:val="Heading2"/>
      </w:pPr>
      <w:r>
        <w:rPr>
          <w:rFonts w:ascii="Arial" w:cs="Arial" w:eastAsia="Arial" w:hAnsi="Arial"/>
        </w:rPr>
        <w:t xml:space="preserve">9.1 Dark Background Mark</w:t>
      </w:r>
    </w:p>
    <w:p>
      <w:pPr>
        <w:spacing w:after="200"/>
        <w:jc w:val="left"/>
      </w:pPr>
      <w:r>
        <w:rPr>
          <w:rFonts w:ascii="Arial" w:cs="Arial" w:eastAsia="Arial" w:hAnsi="Arial"/>
          <w:b w:val="false"/>
          <w:bCs w:val="false"/>
          <w:i w:val="false"/>
          <w:iCs w:val="false"/>
          <w:color w:val="2C2C2A"/>
          <w:sz w:val="22"/>
          <w:szCs w:val="22"/>
        </w:rPr>
        <w:t xml:space="preserve">The following SVG code produces the canonical dark-background mark. This is the primary reference implementation from which all other sizes and formats are derived.</w:t>
      </w:r>
    </w:p>
    <w:p>
      <w:pPr>
        <w:spacing w:after="100"/>
      </w:pPr>
    </w:p>
    <w:p>
      <w:pPr>
        <w:spacing w:after="200"/>
        <w:jc w:val="left"/>
      </w:pPr>
      <w:r>
        <w:rPr>
          <w:rFonts w:ascii="Arial" w:cs="Arial" w:eastAsia="Arial" w:hAnsi="Arial"/>
          <w:b w:val="false"/>
          <w:bCs w:val="false"/>
          <w:i w:val="false"/>
          <w:iCs w:val="false"/>
          <w:color w:val="444444"/>
          <w:sz w:val="20"/>
          <w:szCs w:val="20"/>
        </w:rPr>
        <w:t xml:space="preserve">&lt;svg viewBox="0 0 200 200" xmlns="http://www.w3.org/2000/svg"&gt;</w:t>
      </w:r>
    </w:p>
    <w:p>
      <w:pPr>
        <w:spacing w:after="200"/>
        <w:jc w:val="left"/>
      </w:pPr>
      <w:r>
        <w:rPr>
          <w:rFonts w:ascii="Arial" w:cs="Arial" w:eastAsia="Arial" w:hAnsi="Arial"/>
          <w:b w:val="false"/>
          <w:bCs w:val="false"/>
          <w:i w:val="false"/>
          <w:iCs w:val="false"/>
          <w:color w:val="444444"/>
          <w:sz w:val="20"/>
          <w:szCs w:val="20"/>
        </w:rPr>
        <w:t xml:space="preserve">  &lt;circle cx="100" cy="100" r="30" fill="#EEEDFE"/&gt;</w:t>
      </w:r>
    </w:p>
    <w:p>
      <w:pPr>
        <w:spacing w:after="200"/>
        <w:jc w:val="left"/>
      </w:pPr>
      <w:r>
        <w:rPr>
          <w:rFonts w:ascii="Arial" w:cs="Arial" w:eastAsia="Arial" w:hAnsi="Arial"/>
          <w:b w:val="false"/>
          <w:bCs w:val="false"/>
          <w:i w:val="false"/>
          <w:iCs w:val="false"/>
          <w:color w:val="444444"/>
          <w:sz w:val="20"/>
          <w:szCs w:val="20"/>
        </w:rPr>
        <w:t xml:space="preserve">  &lt;circle cx="100" cy="100" r="19" fill="#FFFFFF"/&gt;</w:t>
      </w:r>
    </w:p>
    <w:p>
      <w:pPr>
        <w:spacing w:after="200"/>
        <w:jc w:val="left"/>
      </w:pPr>
      <w:r>
        <w:rPr>
          <w:rFonts w:ascii="Arial" w:cs="Arial" w:eastAsia="Arial" w:hAnsi="Arial"/>
          <w:b w:val="false"/>
          <w:bCs w:val="false"/>
          <w:i w:val="false"/>
          <w:iCs w:val="false"/>
          <w:color w:val="444444"/>
          <w:sz w:val="20"/>
          <w:szCs w:val="20"/>
        </w:rPr>
        <w:t xml:space="preserve">  &lt;circle cx="45" cy="42" r="24" fill="#378ADD"/&gt;</w:t>
      </w:r>
    </w:p>
    <w:p>
      <w:pPr>
        <w:spacing w:after="200"/>
        <w:jc w:val="left"/>
      </w:pPr>
      <w:r>
        <w:rPr>
          <w:rFonts w:ascii="Arial" w:cs="Arial" w:eastAsia="Arial" w:hAnsi="Arial"/>
          <w:b w:val="false"/>
          <w:bCs w:val="false"/>
          <w:i w:val="false"/>
          <w:iCs w:val="false"/>
          <w:color w:val="444444"/>
          <w:sz w:val="20"/>
          <w:szCs w:val="20"/>
        </w:rPr>
        <w:t xml:space="preserve">  &lt;circle cx="130" cy="52" r="20" fill="#7F77DD"/&gt;</w:t>
      </w:r>
    </w:p>
    <w:p>
      <w:pPr>
        <w:spacing w:after="200"/>
        <w:jc w:val="left"/>
      </w:pPr>
      <w:r>
        <w:rPr>
          <w:rFonts w:ascii="Arial" w:cs="Arial" w:eastAsia="Arial" w:hAnsi="Arial"/>
          <w:b w:val="false"/>
          <w:bCs w:val="false"/>
          <w:i w:val="false"/>
          <w:iCs w:val="false"/>
          <w:color w:val="444444"/>
          <w:sz w:val="20"/>
          <w:szCs w:val="20"/>
        </w:rPr>
        <w:t xml:space="preserve">  &lt;circle cx="162" cy="110" r="16" fill="#1D9E75"/&gt;</w:t>
      </w:r>
    </w:p>
    <w:p>
      <w:pPr>
        <w:spacing w:after="200"/>
        <w:jc w:val="left"/>
      </w:pPr>
      <w:r>
        <w:rPr>
          <w:rFonts w:ascii="Arial" w:cs="Arial" w:eastAsia="Arial" w:hAnsi="Arial"/>
          <w:b w:val="false"/>
          <w:bCs w:val="false"/>
          <w:i w:val="false"/>
          <w:iCs w:val="false"/>
          <w:color w:val="444444"/>
          <w:sz w:val="20"/>
          <w:szCs w:val="20"/>
        </w:rPr>
        <w:t xml:space="preserve">  &lt;circle cx="80" cy="158" r="13" fill="#D85A30"/&gt;</w:t>
      </w:r>
    </w:p>
    <w:p>
      <w:pPr>
        <w:spacing w:after="200"/>
        <w:jc w:val="left"/>
      </w:pPr>
      <w:r>
        <w:rPr>
          <w:rFonts w:ascii="Arial" w:cs="Arial" w:eastAsia="Arial" w:hAnsi="Arial"/>
          <w:b w:val="false"/>
          <w:bCs w:val="false"/>
          <w:i w:val="false"/>
          <w:iCs w:val="false"/>
          <w:color w:val="444444"/>
          <w:sz w:val="20"/>
          <w:szCs w:val="20"/>
        </w:rPr>
        <w:t xml:space="preserve">&lt;/svg&gt;</w:t>
      </w:r>
    </w:p>
    <w:p>
      <w:pPr>
        <w:spacing w:after="100"/>
      </w:pPr>
    </w:p>
    <w:p>
      <w:pPr>
        <w:spacing w:after="200"/>
        <w:jc w:val="left"/>
      </w:pPr>
      <w:r>
        <w:rPr>
          <w:rFonts w:ascii="Arial" w:cs="Arial" w:eastAsia="Arial" w:hAnsi="Arial"/>
          <w:b w:val="false"/>
          <w:bCs w:val="false"/>
          <w:i w:val="false"/>
          <w:iCs w:val="false"/>
          <w:color w:val="2C2C2A"/>
          <w:sz w:val="24"/>
          <w:szCs w:val="24"/>
        </w:rPr>
        <w:t xml:space="preserve">Note: The viewBox is set to 200×200 with the core centered at (100, 100). The satellite coordinates are the reference coordinates from Section 3.2 offset by +100 on both axes.</w:t>
      </w:r>
    </w:p>
    <w:p>
      <w:pPr>
        <w:pStyle w:val="Heading2"/>
      </w:pPr>
      <w:r>
        <w:rPr>
          <w:rFonts w:ascii="Arial" w:cs="Arial" w:eastAsia="Arial" w:hAnsi="Arial"/>
        </w:rPr>
        <w:t xml:space="preserve">9.2 Light Background Mark</w:t>
      </w:r>
    </w:p>
    <w:p>
      <w:pPr>
        <w:spacing w:after="200"/>
        <w:jc w:val="left"/>
      </w:pPr>
      <w:r>
        <w:rPr>
          <w:rFonts w:ascii="Arial" w:cs="Arial" w:eastAsia="Arial" w:hAnsi="Arial"/>
          <w:b w:val="false"/>
          <w:bCs w:val="false"/>
          <w:i w:val="false"/>
          <w:iCs w:val="false"/>
          <w:color w:val="2C2C2A"/>
          <w:sz w:val="22"/>
          <w:szCs w:val="22"/>
        </w:rPr>
        <w:t xml:space="preserve">For light backgrounds, replace the two core circles:</w:t>
      </w:r>
    </w:p>
    <w:p>
      <w:pPr>
        <w:spacing w:after="100"/>
      </w:pPr>
    </w:p>
    <w:p>
      <w:pPr>
        <w:spacing w:after="200"/>
        <w:jc w:val="left"/>
      </w:pPr>
      <w:r>
        <w:rPr>
          <w:rFonts w:ascii="Arial" w:cs="Arial" w:eastAsia="Arial" w:hAnsi="Arial"/>
          <w:b w:val="false"/>
          <w:bCs w:val="false"/>
          <w:i w:val="false"/>
          <w:iCs w:val="false"/>
          <w:color w:val="444444"/>
          <w:sz w:val="20"/>
          <w:szCs w:val="20"/>
        </w:rPr>
        <w:t xml:space="preserve">  &lt;circle cx="100" cy="100" r="30" fill="#534AB7"/&gt;  &lt;!-- was #EEEDFE --&gt;</w:t>
      </w:r>
    </w:p>
    <w:p>
      <w:pPr>
        <w:spacing w:after="200"/>
        <w:jc w:val="left"/>
      </w:pPr>
      <w:r>
        <w:rPr>
          <w:rFonts w:ascii="Arial" w:cs="Arial" w:eastAsia="Arial" w:hAnsi="Arial"/>
          <w:b w:val="false"/>
          <w:bCs w:val="false"/>
          <w:i w:val="false"/>
          <w:iCs w:val="false"/>
          <w:color w:val="444444"/>
          <w:sz w:val="20"/>
          <w:szCs w:val="20"/>
        </w:rPr>
        <w:t xml:space="preserve">  &lt;circle cx="100" cy="100" r="19" fill="#3C3489"/&gt;  &lt;!-- was #FFFFFF --&gt;</w:t>
      </w:r>
    </w:p>
    <w:p>
      <w:pPr>
        <w:spacing w:after="100"/>
      </w:pPr>
    </w:p>
    <w:p>
      <w:pPr>
        <w:spacing w:after="200"/>
        <w:jc w:val="left"/>
      </w:pPr>
      <w:r>
        <w:rPr>
          <w:rFonts w:ascii="Arial" w:cs="Arial" w:eastAsia="Arial" w:hAnsi="Arial"/>
          <w:b w:val="false"/>
          <w:bCs w:val="false"/>
          <w:i w:val="false"/>
          <w:iCs w:val="false"/>
          <w:color w:val="2C2C2A"/>
          <w:sz w:val="24"/>
          <w:szCs w:val="24"/>
        </w:rPr>
        <w:t xml:space="preserve">All satellite node circles remain identical.</w:t>
      </w:r>
    </w:p>
    <w:p>
      <w:pPr>
        <w:pStyle w:val="Heading2"/>
      </w:pPr>
      <w:r>
        <w:rPr>
          <w:rFonts w:ascii="Arial" w:cs="Arial" w:eastAsia="Arial" w:hAnsi="Arial"/>
        </w:rPr>
        <w:t xml:space="preserve">9.3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Format</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Use Case</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Background</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r>
              <w:rPr>
                <w:rFonts w:ascii="Arial" w:cs="Arial" w:eastAsia="Arial" w:hAnsi="Arial"/>
                <w:b/>
                <w:bCs/>
                <w:color w:val="534AB7"/>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Transparent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source format</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PNG @1x–4x</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UI, marketing</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Transparent or solid</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Export at 2x minimum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favicon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Solid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Multi-resolution 16–256</w:t>
            </w:r>
          </w:p>
        </w:tc>
      </w:tr>
      <w:tr>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ICNS</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macOS app icon</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Solid background</w:t>
            </w:r>
          </w:p>
        </w:tc>
        <w:tc>
          <w:tcPr>
            <w:tcW w:type="dxa" w:w="234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sz w:val="22"/>
                <w:szCs w:val="22"/>
              </w:rPr>
              <w:t xml:space="preserve">Up to 1024×1024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Print, vector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Transparent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high-res print</w:t>
            </w:r>
          </w:p>
        </w:tc>
      </w:tr>
    </w:tbl>
    <w:p>
      <w:r>
        <w:br w:type="page"/>
      </w:r>
    </w:p>
    <w:p>
      <w:pPr>
        <w:pStyle w:val="Heading1"/>
      </w:pPr>
      <w:r>
        <w:rPr>
          <w:rFonts w:ascii="Arial" w:cs="Arial" w:eastAsia="Arial" w:hAnsi="Arial"/>
        </w:rPr>
        <w:t xml:space="preserve">10. Tauri v2 Integration</w:t>
      </w:r>
    </w:p>
    <w:p>
      <w:pPr>
        <w:spacing w:after="200"/>
        <w:jc w:val="left"/>
      </w:pPr>
      <w:r>
        <w:rPr>
          <w:rFonts w:ascii="Arial" w:cs="Arial" w:eastAsia="Arial" w:hAnsi="Arial"/>
          <w:b w:val="false"/>
          <w:bCs w:val="false"/>
          <w:i w:val="false"/>
          <w:iCs w:val="false"/>
          <w:color w:val="2C2C2A"/>
          <w:sz w:val="24"/>
          <w:szCs w:val="24"/>
        </w:rPr>
        <w:t xml:space="preserve">Constellation is built on Tauri v2. The following notes cover icon integration with the Tauri build system.</w:t>
      </w:r>
    </w:p>
    <w:p>
      <w:pPr>
        <w:pStyle w:val="Heading2"/>
      </w:pPr>
      <w:r>
        <w:rPr>
          <w:rFonts w:ascii="Arial" w:cs="Arial" w:eastAsia="Arial" w:hAnsi="Arial"/>
        </w:rPr>
        <w:t xml:space="preserve">10.1 Required Icon Files</w:t>
      </w:r>
    </w:p>
    <w:p>
      <w:pPr>
        <w:spacing w:after="200"/>
        <w:jc w:val="left"/>
      </w:pPr>
      <w:r>
        <w:rPr>
          <w:rFonts w:ascii="Arial" w:cs="Arial" w:eastAsia="Arial" w:hAnsi="Arial"/>
          <w:b w:val="false"/>
          <w:bCs w:val="false"/>
          <w:i w:val="false"/>
          <w:iCs w:val="false"/>
          <w:color w:val="2C2C2A"/>
          <w:sz w:val="22"/>
          <w:szCs w:val="22"/>
        </w:rPr>
        <w:t xml:space="preserve">Place icon files in the src-tauri/icons/ directory. Tauri’s icon configuration in tauri.conf.json expects:</w:t>
      </w:r>
    </w:p>
    <w:p>
      <w:pPr>
        <w:spacing w:after="100"/>
      </w:pPr>
    </w:p>
    <w:p>
      <w:pPr>
        <w:pStyle w:val="ListParagraph"/>
        <w:numPr>
          <w:ilvl w:val="0"/>
          <w:numId w:val="2"/>
        </w:numPr>
        <w:spacing w:after="120"/>
      </w:pPr>
      <w:r>
        <w:rPr>
          <w:rFonts w:ascii="Arial" w:cs="Arial" w:eastAsia="Arial" w:hAnsi="Arial"/>
          <w:b/>
          <w:bCs/>
        </w:rPr>
        <w:t xml:space="preserve">32x32.png</w:t>
      </w:r>
      <w:r>
        <w:rPr>
          <w:rFonts w:ascii="Arial" w:cs="Arial" w:eastAsia="Arial" w:hAnsi="Arial"/>
        </w:rPr>
        <w:t xml:space="preserve"> — Taskbar icon (Windows, Linux)</w:t>
      </w:r>
    </w:p>
    <w:p>
      <w:pPr>
        <w:pStyle w:val="ListParagraph"/>
        <w:numPr>
          <w:ilvl w:val="0"/>
          <w:numId w:val="2"/>
        </w:numPr>
        <w:spacing w:after="120"/>
      </w:pPr>
      <w:r>
        <w:rPr>
          <w:rFonts w:ascii="Arial" w:cs="Arial" w:eastAsia="Arial" w:hAnsi="Arial"/>
          <w:b/>
          <w:bCs/>
        </w:rPr>
        <w:t xml:space="preserve">128x128.png</w:t>
      </w:r>
      <w:r>
        <w:rPr>
          <w:rFonts w:ascii="Arial" w:cs="Arial" w:eastAsia="Arial" w:hAnsi="Arial"/>
        </w:rPr>
        <w:t xml:space="preserve"> — Application icon (all platforms)</w:t>
      </w:r>
    </w:p>
    <w:p>
      <w:pPr>
        <w:pStyle w:val="ListParagraph"/>
        <w:numPr>
          <w:ilvl w:val="0"/>
          <w:numId w:val="2"/>
        </w:numPr>
        <w:spacing w:after="120"/>
      </w:pPr>
      <w:r>
        <w:rPr>
          <w:rFonts w:ascii="Arial" w:cs="Arial" w:eastAsia="Arial" w:hAnsi="Arial"/>
          <w:b/>
          <w:bCs/>
        </w:rPr>
        <w:t xml:space="preserve">128x128@2x.png</w:t>
      </w:r>
      <w:r>
        <w:rPr>
          <w:rFonts w:ascii="Arial" w:cs="Arial" w:eastAsia="Arial" w:hAnsi="Arial"/>
        </w:rPr>
        <w:t xml:space="preserve"> — Retina application icon (macOS)</w:t>
      </w:r>
    </w:p>
    <w:p>
      <w:pPr>
        <w:pStyle w:val="ListParagraph"/>
        <w:numPr>
          <w:ilvl w:val="0"/>
          <w:numId w:val="2"/>
        </w:numPr>
        <w:spacing w:after="120"/>
      </w:pPr>
      <w:r>
        <w:rPr>
          <w:rFonts w:ascii="Arial" w:cs="Arial" w:eastAsia="Arial" w:hAnsi="Arial"/>
          <w:b/>
          <w:bCs/>
        </w:rPr>
        <w:t xml:space="preserve">icon.ico</w:t>
      </w:r>
      <w:r>
        <w:rPr>
          <w:rFonts w:ascii="Arial" w:cs="Arial" w:eastAsia="Arial" w:hAnsi="Arial"/>
        </w:rPr>
        <w:t xml:space="preserve"> — Windows ICO (multi-resolution)</w:t>
      </w:r>
    </w:p>
    <w:p>
      <w:pPr>
        <w:pStyle w:val="ListParagraph"/>
        <w:numPr>
          <w:ilvl w:val="0"/>
          <w:numId w:val="2"/>
        </w:numPr>
        <w:spacing w:after="200"/>
      </w:pPr>
      <w:r>
        <w:rPr>
          <w:rFonts w:ascii="Arial" w:cs="Arial" w:eastAsia="Arial" w:hAnsi="Arial"/>
          <w:b/>
          <w:bCs/>
        </w:rPr>
        <w:t xml:space="preserve">icon.icns</w:t>
      </w:r>
      <w:r>
        <w:rPr>
          <w:rFonts w:ascii="Arial" w:cs="Arial" w:eastAsia="Arial" w:hAnsi="Arial"/>
        </w:rPr>
        <w:t xml:space="preserve"> — macOS ICNS</w:t>
      </w:r>
    </w:p>
    <w:p>
      <w:pPr>
        <w:spacing w:after="200"/>
        <w:jc w:val="left"/>
      </w:pPr>
      <w:r>
        <w:rPr>
          <w:rFonts w:ascii="Arial" w:cs="Arial" w:eastAsia="Arial" w:hAnsi="Arial"/>
          <w:b w:val="false"/>
          <w:bCs w:val="false"/>
          <w:i w:val="false"/>
          <w:iCs w:val="false"/>
          <w:color w:val="2C2C2A"/>
          <w:sz w:val="24"/>
          <w:szCs w:val="24"/>
        </w:rPr>
        <w:t xml:space="preserve">Use the "Default" variant (dark background #2D2B3D with white core) as the primary icon across all platforms. The Tauri CLI command "tauri icon" can generate all required sizes from a single 1024×1024 PNG source.</w:t>
      </w:r>
    </w:p>
    <w:p>
      <w:pPr>
        <w:pStyle w:val="Heading2"/>
      </w:pPr>
      <w:r>
        <w:rPr>
          <w:rFonts w:ascii="Arial" w:cs="Arial" w:eastAsia="Arial" w:hAnsi="Arial"/>
        </w:rPr>
        <w:t xml:space="preserve">10.2 Splash Screen</w:t>
      </w:r>
    </w:p>
    <w:p>
      <w:pPr>
        <w:spacing w:after="200"/>
        <w:jc w:val="left"/>
      </w:pPr>
      <w:r>
        <w:rPr>
          <w:rFonts w:ascii="Arial" w:cs="Arial" w:eastAsia="Arial" w:hAnsi="Arial"/>
          <w:b w:val="false"/>
          <w:bCs w:val="false"/>
          <w:i w:val="false"/>
          <w:iCs w:val="false"/>
          <w:color w:val="2C2C2A"/>
          <w:sz w:val="24"/>
          <w:szCs w:val="24"/>
        </w:rPr>
        <w:t xml:space="preserve">The splash screen uses the deep space background (#13111D) with the primary mark centered vertically, wordmark and tagline below, and an "Open universe" call-to-action button in Core Purple (#534AB7). The version string and technology stack ("v2.0 — Tauri + SvelteKit + Rust") appear at the bottom in muted text (#444444).</w:t>
      </w:r>
    </w:p>
    <w:p>
      <w:pPr>
        <w:pStyle w:val="Heading1"/>
      </w:pPr>
      <w:r>
        <w:rPr>
          <w:rFonts w:ascii="Arial" w:cs="Arial" w:eastAsia="Arial" w:hAnsi="Arial"/>
        </w:rPr>
        <w:t xml:space="preserve">11. Conclusion</w:t>
      </w:r>
    </w:p>
    <w:p>
      <w:pPr>
        <w:spacing w:after="200"/>
        <w:jc w:val="left"/>
      </w:pPr>
      <w:r>
        <w:rPr>
          <w:rFonts w:ascii="Arial" w:cs="Arial" w:eastAsia="Arial" w:hAnsi="Arial"/>
          <w:b w:val="false"/>
          <w:bCs w:val="false"/>
          <w:i w:val="false"/>
          <w:iCs w:val="false"/>
          <w:color w:val="2C2C2A"/>
          <w:sz w:val="24"/>
          <w:szCs w:val="24"/>
        </w:rPr>
        <w:t xml:space="preserve">The Constellation logo mark is a compact, scalable, and semantically meaningful identity that communicates the product’s core value proposition at a glance: multiple knowledge domains (colors) orbiting a unified workspace (core). Its five-circle construction is simple enough to render at any size, distinctive enough to be recognizable in a crowded category, and flexible enough to adapt to both dark and light contexts without losing its character.</w:t>
      </w:r>
    </w:p>
    <w:p>
      <w:pPr>
        <w:spacing w:after="200"/>
        <w:jc w:val="left"/>
      </w:pPr>
      <w:r>
        <w:rPr>
          <w:rFonts w:ascii="Arial" w:cs="Arial" w:eastAsia="Arial" w:hAnsi="Arial"/>
          <w:b w:val="false"/>
          <w:bCs w:val="false"/>
          <w:i w:val="false"/>
          <w:iCs w:val="false"/>
          <w:color w:val="2C2C2A"/>
          <w:sz w:val="24"/>
          <w:szCs w:val="24"/>
        </w:rPr>
        <w:t xml:space="preserve">This identity system is released under the same MIT license as the Constellation application itself.</w:t>
      </w:r>
    </w:p>
    <w:p>
      <w:pPr>
        <w:spacing w:after="100"/>
      </w:pPr>
    </w:p>
    <w:p>
      <w:pPr>
        <w:pBdr>
          <w:top w:val="single" w:color="534AB7" w:sz="4" w:space="12"/>
        </w:pBdr>
        <w:spacing w:before="400"/>
        <w:jc w:val="center"/>
      </w:pPr>
      <w:r>
        <w:rPr>
          <w:rFonts w:ascii="Arial" w:cs="Arial" w:eastAsia="Arial" w:hAnsi="Arial"/>
          <w:color w:val="888780"/>
          <w:sz w:val="22"/>
          <w:szCs w:val="22"/>
        </w:rPr>
        <w:t xml:space="preserve">Developed by Eisa ALSHAMSI</w:t>
      </w:r>
    </w:p>
    <w:p>
      <w:pPr>
        <w:spacing w:after="100"/>
        <w:jc w:val="center"/>
      </w:pPr>
      <w:r>
        <w:rPr>
          <w:rFonts w:ascii="Arial" w:cs="Arial" w:eastAsia="Arial" w:hAnsi="Arial"/>
          <w:color w:val="888780"/>
          <w:sz w:val="22"/>
          <w:szCs w:val="22"/>
        </w:rPr>
        <w:t xml:space="preserve">طُوّر بواسطة: عيسى الشامسي</w:t>
      </w:r>
    </w:p>
    <w:p>
      <w:pPr>
        <w:jc w:val="center"/>
      </w:pPr>
      <w:r>
        <w:rPr>
          <w:rFonts w:ascii="Arial" w:cs="Arial" w:eastAsia="Arial" w:hAnsi="Arial"/>
          <w:color w:val="534AB7"/>
          <w:sz w:val="20"/>
          <w:szCs w:val="20"/>
        </w:rPr>
        <w:t xml:space="preserve">github.com/eisaAlshamsi/Constellation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888780"/>
        <w:sz w:val="18"/>
        <w:szCs w:val="18"/>
      </w:rPr>
      <w:t xml:space="preserve">Constellation Logo Identity System</w:t>
    </w:r>
    <w:r>
      <w:rPr>
        <w:rFonts w:ascii="Arial" w:cs="Arial" w:eastAsia="Arial" w:hAnsi="Arial"/>
        <w:color w:val="888780"/>
        <w:sz w:val="18"/>
        <w:szCs w:val="18"/>
      </w:rPr>
      <w:ptab w:alignment="right" w:relativeTo="margin" w:leader="none"/>
    </w: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pPr>
    <w:r>
      <w:rPr>
        <w:rFonts w:ascii="Arial" w:cs="Arial" w:eastAsia="Arial" w:hAnsi="Arial"/>
        <w:color w:val="888780"/>
        <w:sz w:val="18"/>
        <w:szCs w:val="18"/>
      </w:rPr>
      <w:t xml:space="preserve">Constellation — Logo Identity System</w:t>
    </w:r>
    <w:r>
      <w:rPr>
        <w:rFonts w:ascii="Arial" w:cs="Arial" w:eastAsia="Arial" w:hAnsi="Arial"/>
        <w:color w:val="888780"/>
        <w:sz w:val="18"/>
        <w:szCs w:val="18"/>
      </w:rPr>
      <w:ptab w:alignment="right" w:relativeTo="margin" w:leader="none"/>
    </w:r>
    <w:r>
      <w:rPr>
        <w:rFonts w:ascii="Arial" w:cs="Arial" w:eastAsia="Arial" w:hAnsi="Arial"/>
        <w:color w:val="888780"/>
        <w:sz w:val="18"/>
        <w:szCs w:val="18"/>
      </w:rPr>
      <w:t xml:space="preserve">Concept 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534AB7"/>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C3489"/>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2026-03-14T20:41:37.880Z</dcterms:created>
  <dcterms:modified xsi:type="dcterms:W3CDTF">2026-03-14T20:41:37.881Z</dcterms:modified>
</cp:coreProperties>
</file>

<file path=docProps/custom.xml><?xml version="1.0" encoding="utf-8"?>
<Properties xmlns="http://schemas.openxmlformats.org/officeDocument/2006/custom-properties" xmlns:vt="http://schemas.openxmlformats.org/officeDocument/2006/docPropsVTypes"/>
</file>