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D3EE" w14:textId="77777777" w:rsidR="00E24B42" w:rsidRDefault="004957E3">
      <w:pPr>
        <w:spacing w:after="167" w:line="259" w:lineRule="auto"/>
        <w:ind w:firstLine="0"/>
        <w:jc w:val="center"/>
      </w:pPr>
      <w:r>
        <w:rPr>
          <w:sz w:val="34"/>
        </w:rPr>
        <w:t>201HW3</w:t>
      </w:r>
    </w:p>
    <w:p w14:paraId="5BB6417A" w14:textId="77777777" w:rsidR="00E24B42" w:rsidRDefault="004957E3">
      <w:pPr>
        <w:spacing w:after="178" w:line="265" w:lineRule="auto"/>
        <w:ind w:left="10" w:hanging="10"/>
        <w:jc w:val="center"/>
      </w:pPr>
      <w:r>
        <w:rPr>
          <w:sz w:val="24"/>
        </w:rPr>
        <w:t xml:space="preserve">Daniel </w:t>
      </w:r>
      <w:proofErr w:type="gramStart"/>
      <w:r>
        <w:rPr>
          <w:sz w:val="24"/>
        </w:rPr>
        <w:t>Eisen :</w:t>
      </w:r>
      <w:proofErr w:type="gramEnd"/>
      <w:r>
        <w:rPr>
          <w:sz w:val="24"/>
        </w:rPr>
        <w:t xml:space="preserve"> 300447549</w:t>
      </w:r>
    </w:p>
    <w:p w14:paraId="79FAD45C" w14:textId="77777777" w:rsidR="00E24B42" w:rsidRDefault="004957E3">
      <w:pPr>
        <w:spacing w:after="651" w:line="265" w:lineRule="auto"/>
        <w:ind w:left="10" w:hanging="10"/>
        <w:jc w:val="center"/>
      </w:pPr>
      <w:r>
        <w:rPr>
          <w:sz w:val="24"/>
        </w:rPr>
        <w:t>August 8, 2019</w:t>
      </w:r>
    </w:p>
    <w:p w14:paraId="26B1D4F8" w14:textId="77777777" w:rsidR="00E24B42" w:rsidRDefault="004957E3">
      <w:pPr>
        <w:pStyle w:val="Heading1"/>
        <w:ind w:left="484" w:hanging="484"/>
      </w:pPr>
      <w:r>
        <w:t>Reducing Human Radiation Risks</w:t>
      </w:r>
    </w:p>
    <w:p w14:paraId="0F43F833" w14:textId="77777777" w:rsidR="00E24B42" w:rsidRDefault="004957E3">
      <w:pPr>
        <w:spacing w:after="338"/>
        <w:ind w:left="-15"/>
      </w:pPr>
      <w:r>
        <w:t xml:space="preserve">Human undertaking space travel and </w:t>
      </w:r>
      <w:proofErr w:type="spellStart"/>
      <w:r>
        <w:t>extraterrestrial</w:t>
      </w:r>
      <w:proofErr w:type="spellEnd"/>
      <w:r>
        <w:t xml:space="preserve"> habitation outside of a protective magnetosphere are subject to very high levels of highly damaging radiation [1]. Exposure levels are at least 3 times that experienced in low earth orbit (LEO) [2]. This </w:t>
      </w:r>
      <w:r>
        <w:t>radiation is of two distinct forms, Galactic Cosmic Rays (GCR)and Solar Particle Events (SPE). With equally distinct needed approach to shielding/risk reduction.</w:t>
      </w:r>
    </w:p>
    <w:p w14:paraId="3D9588A8" w14:textId="77777777" w:rsidR="00E24B42" w:rsidRDefault="004957E3">
      <w:pPr>
        <w:pStyle w:val="Heading2"/>
        <w:ind w:left="598" w:hanging="613"/>
      </w:pPr>
      <w:r>
        <w:t>Requirements for risk mitigation</w:t>
      </w:r>
    </w:p>
    <w:p w14:paraId="2CA85D7D" w14:textId="5FE44F45" w:rsidR="00E24B42" w:rsidRDefault="004957E3">
      <w:pPr>
        <w:spacing w:after="338"/>
        <w:ind w:left="-15"/>
      </w:pPr>
      <w:r>
        <w:t>The radiation risk evaluation and mitigation is if the highes</w:t>
      </w:r>
      <w:r>
        <w:t>t importance, as current ”Mars mission models conclude that astronauts will vastly exceed the current limit for a career based</w:t>
      </w:r>
      <w:r>
        <w:t xml:space="preserve"> 3 percent increase in Risk of Exposure Induced Death (REID) over the course of a typical mission.[3]” Especially to vital organs, </w:t>
      </w:r>
      <w:r>
        <w:t>i.e. lungs and with a higher risk to female reproductive organs[3]. To have a mission be sustainable exposure must be brought to what is refereed to by OSHA and NASA as,” as</w:t>
      </w:r>
      <w:r>
        <w:t xml:space="preserve"> </w:t>
      </w:r>
      <w:bookmarkStart w:id="0" w:name="_GoBack"/>
      <w:bookmarkEnd w:id="0"/>
      <w:r>
        <w:t>low as reasonably achievable”, or ALARA[4].</w:t>
      </w:r>
    </w:p>
    <w:p w14:paraId="521750B0" w14:textId="77777777" w:rsidR="00E24B42" w:rsidRDefault="004957E3">
      <w:pPr>
        <w:pStyle w:val="Heading2"/>
        <w:ind w:left="598" w:hanging="613"/>
      </w:pPr>
      <w:r>
        <w:t>Shielding technologies to mitigate GCR</w:t>
      </w:r>
      <w:r>
        <w:t>/SPE Exposure</w:t>
      </w:r>
    </w:p>
    <w:p w14:paraId="637F4654" w14:textId="77777777" w:rsidR="00E24B42" w:rsidRDefault="004957E3">
      <w:pPr>
        <w:spacing w:after="52"/>
        <w:ind w:left="-15"/>
      </w:pPr>
      <w:r>
        <w:t xml:space="preserve">Three shield main shielding technologies have been investigated in [5]; aluminium, water, and liquid hydrogen all reduce GCR damage to BFO (blood forming organs) to 45 </w:t>
      </w:r>
      <w:proofErr w:type="gramStart"/>
      <w:r>
        <w:rPr>
          <w:i/>
        </w:rPr>
        <w:t>rem.yr</w:t>
      </w:r>
      <w:proofErr w:type="gramEnd"/>
      <w:r>
        <w:rPr>
          <w:vertAlign w:val="superscript"/>
        </w:rPr>
        <w:t>−</w:t>
      </w:r>
      <w:r>
        <w:rPr>
          <w:vertAlign w:val="superscript"/>
        </w:rPr>
        <w:t>1</w:t>
      </w:r>
      <w:r>
        <w:t>, 35</w:t>
      </w:r>
      <w:r>
        <w:rPr>
          <w:i/>
        </w:rPr>
        <w:t>rem.yr</w:t>
      </w:r>
      <w:r>
        <w:rPr>
          <w:vertAlign w:val="superscript"/>
        </w:rPr>
        <w:t>−</w:t>
      </w:r>
      <w:r>
        <w:rPr>
          <w:vertAlign w:val="superscript"/>
        </w:rPr>
        <w:t xml:space="preserve">1 </w:t>
      </w:r>
      <w:r>
        <w:t>and 15</w:t>
      </w:r>
      <w:r>
        <w:rPr>
          <w:i/>
        </w:rPr>
        <w:t>rem.yr</w:t>
      </w:r>
      <w:r>
        <w:rPr>
          <w:vertAlign w:val="superscript"/>
        </w:rPr>
        <w:t>−</w:t>
      </w:r>
      <w:r>
        <w:rPr>
          <w:vertAlign w:val="superscript"/>
        </w:rPr>
        <w:t xml:space="preserve">1 </w:t>
      </w:r>
      <w:r>
        <w:t xml:space="preserve">respectively at a minimum of 10 </w:t>
      </w:r>
      <w:r>
        <w:rPr>
          <w:i/>
        </w:rPr>
        <w:t>g.cm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[5]</w:t>
      </w:r>
    </w:p>
    <w:p w14:paraId="24B9EEEA" w14:textId="50B1B791" w:rsidR="00E24B42" w:rsidRDefault="004957E3">
      <w:pPr>
        <w:spacing w:after="233"/>
        <w:ind w:left="-15"/>
      </w:pPr>
      <w:r>
        <w:t xml:space="preserve">Where SPE are unpredictable both in time and power so a higher grade of aluminium shield, nearer 30 </w:t>
      </w:r>
      <w:r>
        <w:rPr>
          <w:i/>
        </w:rPr>
        <w:t>g.cm</w:t>
      </w:r>
      <w:r>
        <w:rPr>
          <w:vertAlign w:val="superscript"/>
        </w:rPr>
        <w:t>−</w:t>
      </w:r>
      <w:r>
        <w:rPr>
          <w:vertAlign w:val="superscript"/>
        </w:rPr>
        <w:t xml:space="preserve">3 </w:t>
      </w:r>
      <w:r>
        <w:t>is needed to have same risk reduction.</w:t>
      </w:r>
      <w:r>
        <w:t xml:space="preserve"> Though the practicality is also a major factor. Mostly the concerns of each of the weight requirement of</w:t>
      </w:r>
      <w:r>
        <w:t xml:space="preserve"> each, as the liquids and aluminium as sufficiently effective thicknesses</w:t>
      </w:r>
      <w:r>
        <w:t xml:space="preserve"> are impractically heavy when used on their own. As well as requiring added structural support [1]. This is where </w:t>
      </w:r>
      <w:proofErr w:type="spellStart"/>
      <w:r>
        <w:t>nano</w:t>
      </w:r>
      <w:proofErr w:type="spellEnd"/>
      <w:r>
        <w:t xml:space="preserve"> tube technologies are particularly promising in part because of </w:t>
      </w:r>
      <w:r>
        <w:t>their potential cross-application as structural materials as well. Tables 2-4 in [1] investigate their respective effectiveness’s</w:t>
      </w:r>
      <w:r>
        <w:t xml:space="preserve"> and show promising results:</w:t>
      </w:r>
    </w:p>
    <w:p w14:paraId="0C0F5E27" w14:textId="77777777" w:rsidR="00E24B42" w:rsidRDefault="004957E3">
      <w:pPr>
        <w:spacing w:after="3" w:line="262" w:lineRule="auto"/>
        <w:ind w:left="403" w:right="393" w:hanging="10"/>
        <w:jc w:val="center"/>
      </w:pPr>
      <w:proofErr w:type="spellStart"/>
      <w:r>
        <w:t>Nanoporous</w:t>
      </w:r>
      <w:proofErr w:type="spellEnd"/>
      <w:r>
        <w:t xml:space="preserve"> carbon composites (CNTs).</w:t>
      </w:r>
    </w:p>
    <w:p w14:paraId="449BBB29" w14:textId="77777777" w:rsidR="00E24B42" w:rsidRDefault="004957E3">
      <w:pPr>
        <w:spacing w:after="43" w:line="262" w:lineRule="auto"/>
        <w:ind w:left="403" w:right="393" w:hanging="10"/>
        <w:jc w:val="center"/>
      </w:pPr>
      <w:r>
        <w:t>Specific “best case” example under comparison: (C2H4)39.13 %(</w:t>
      </w:r>
      <w:r>
        <w:t>CH3)60.87 Hydrogen-loaded metal organic frameworks (MOFs).</w:t>
      </w:r>
    </w:p>
    <w:p w14:paraId="2567E831" w14:textId="77777777" w:rsidR="00E24B42" w:rsidRDefault="004957E3">
      <w:pPr>
        <w:spacing w:after="3" w:line="262" w:lineRule="auto"/>
        <w:ind w:left="403" w:right="403" w:hanging="10"/>
        <w:jc w:val="center"/>
      </w:pPr>
      <w:r>
        <w:t xml:space="preserve">Specific “best case” example under comparison: </w:t>
      </w:r>
      <w:r>
        <w:rPr>
          <w:i/>
        </w:rPr>
        <w:t>C</w:t>
      </w:r>
      <w:r>
        <w:rPr>
          <w:vertAlign w:val="subscript"/>
        </w:rPr>
        <w:t>432</w:t>
      </w:r>
      <w:r>
        <w:rPr>
          <w:i/>
        </w:rPr>
        <w:t>H</w:t>
      </w:r>
      <w:r>
        <w:rPr>
          <w:vertAlign w:val="subscript"/>
        </w:rPr>
        <w:t>1120</w:t>
      </w:r>
      <w:r>
        <w:rPr>
          <w:i/>
        </w:rPr>
        <w:t>Be</w:t>
      </w:r>
      <w:r>
        <w:rPr>
          <w:vertAlign w:val="subscript"/>
        </w:rPr>
        <w:t>48</w:t>
      </w:r>
      <w:r>
        <w:rPr>
          <w:i/>
        </w:rPr>
        <w:t>O</w:t>
      </w:r>
      <w:r>
        <w:rPr>
          <w:vertAlign w:val="subscript"/>
        </w:rPr>
        <w:t xml:space="preserve">144 </w:t>
      </w:r>
      <w:r>
        <w:t>Hydrogenated boron nitride nanotubes (BNNTs).</w:t>
      </w:r>
    </w:p>
    <w:p w14:paraId="1E43608B" w14:textId="77777777" w:rsidR="00E24B42" w:rsidRDefault="004957E3">
      <w:pPr>
        <w:spacing w:after="1734" w:line="262" w:lineRule="auto"/>
        <w:ind w:left="403" w:right="393" w:hanging="10"/>
        <w:jc w:val="center"/>
      </w:pPr>
      <w:r>
        <w:t>Specific “best case” example under comparison: BNNT + 20% by weight H2</w:t>
      </w:r>
    </w:p>
    <w:p w14:paraId="19DB6594" w14:textId="77777777" w:rsidR="00E24B42" w:rsidRDefault="004957E3">
      <w:pPr>
        <w:spacing w:after="3" w:line="262" w:lineRule="auto"/>
        <w:ind w:left="403" w:right="393" w:hanging="10"/>
        <w:jc w:val="center"/>
      </w:pPr>
      <w:r>
        <w:t>1</w:t>
      </w:r>
    </w:p>
    <w:p w14:paraId="10D49145" w14:textId="77777777" w:rsidR="00E24B42" w:rsidRDefault="004957E3">
      <w:pPr>
        <w:pStyle w:val="Heading2"/>
        <w:ind w:left="598" w:hanging="613"/>
      </w:pPr>
      <w:r>
        <w:lastRenderedPageBreak/>
        <w:t>Colony Design</w:t>
      </w:r>
    </w:p>
    <w:p w14:paraId="45D5C7E0" w14:textId="77777777" w:rsidR="00E24B42" w:rsidRDefault="004957E3">
      <w:pPr>
        <w:spacing w:after="0"/>
        <w:ind w:left="-15"/>
      </w:pPr>
      <w:r>
        <w:t xml:space="preserve">In an option to reduce cost and extensive use of external shielding, the Martian </w:t>
      </w:r>
      <w:proofErr w:type="spellStart"/>
      <w:r>
        <w:t>regolith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 in situ (underground) shielding can be used.</w:t>
      </w:r>
    </w:p>
    <w:p w14:paraId="3561C4FA" w14:textId="42778D31" w:rsidR="00E24B42" w:rsidRDefault="004957E3">
      <w:pPr>
        <w:spacing w:after="412"/>
        <w:ind w:left="-15"/>
      </w:pPr>
      <w:r>
        <w:t xml:space="preserve">In terms of architecture, the </w:t>
      </w:r>
      <w:r>
        <w:t>base must be constructed to withstand a worst case SPE for long stay missions (600</w:t>
      </w:r>
      <w:r>
        <w:t xml:space="preserve"> days). This can be mitigated with base location, to reduce direct radiation exposure. Making use of geography and solar angle to reduce radiation intensity. In terms of rad</w:t>
      </w:r>
      <w:r>
        <w:t>iation-effect mitigation, the mission must be supply with adequate medical supplies to cover the expected length and worst-case</w:t>
      </w:r>
      <w:r>
        <w:t xml:space="preserve"> exposure, (within planed protocols). To have a successful human mission to Mars, with the objective to maintain crew health and </w:t>
      </w:r>
      <w:r>
        <w:t>safety, the mission must; maintain radiation exposure to acceptable levels and</w:t>
      </w:r>
      <w:r>
        <w:t xml:space="preserve"> mitigate effects of suffered exposure.</w:t>
      </w:r>
    </w:p>
    <w:p w14:paraId="02CE742E" w14:textId="77777777" w:rsidR="00E24B42" w:rsidRDefault="004957E3">
      <w:pPr>
        <w:pStyle w:val="Heading1"/>
        <w:numPr>
          <w:ilvl w:val="0"/>
          <w:numId w:val="0"/>
        </w:numPr>
        <w:spacing w:after="171"/>
        <w:jc w:val="center"/>
      </w:pPr>
      <w:r>
        <w:t>References</w:t>
      </w:r>
    </w:p>
    <w:p w14:paraId="454BB585" w14:textId="77777777" w:rsidR="00E24B42" w:rsidRDefault="004957E3">
      <w:pPr>
        <w:numPr>
          <w:ilvl w:val="0"/>
          <w:numId w:val="1"/>
        </w:numPr>
        <w:spacing w:after="5"/>
      </w:pPr>
      <w:r>
        <w:t xml:space="preserve">Kathryn A. Worden-Buckner, Stephen Tackett, Jennifer L. </w:t>
      </w:r>
      <w:proofErr w:type="spellStart"/>
      <w:r>
        <w:t>Rhatigan</w:t>
      </w:r>
      <w:proofErr w:type="spellEnd"/>
      <w:r>
        <w:t>, Mark Rhoades</w:t>
      </w:r>
      <w:proofErr w:type="gramStart"/>
      <w:r>
        <w:t>, ”Reducing</w:t>
      </w:r>
      <w:proofErr w:type="gramEnd"/>
      <w:r>
        <w:t xml:space="preserve"> Human Radiation Risks on Deep Space </w:t>
      </w:r>
      <w:r>
        <w:t>Missions”, 2018 IEEE Aerospace Con-</w:t>
      </w:r>
    </w:p>
    <w:p w14:paraId="047F7AA0" w14:textId="77777777" w:rsidR="00E24B42" w:rsidRDefault="004957E3">
      <w:pPr>
        <w:ind w:left="-15"/>
      </w:pPr>
      <w:proofErr w:type="spellStart"/>
      <w:r>
        <w:t>ference</w:t>
      </w:r>
      <w:proofErr w:type="spellEnd"/>
    </w:p>
    <w:p w14:paraId="2990054C" w14:textId="77777777" w:rsidR="00E24B42" w:rsidRDefault="004957E3">
      <w:pPr>
        <w:numPr>
          <w:ilvl w:val="0"/>
          <w:numId w:val="1"/>
        </w:numPr>
      </w:pPr>
      <w:r>
        <w:t xml:space="preserve">F. A. </w:t>
      </w:r>
      <w:proofErr w:type="spellStart"/>
      <w:r>
        <w:t>Cucinotta</w:t>
      </w:r>
      <w:proofErr w:type="spellEnd"/>
      <w:r>
        <w:t>, M. H. Y. Kim, L. J. Chappell and J. L. Huff</w:t>
      </w:r>
      <w:proofErr w:type="gramStart"/>
      <w:r>
        <w:t>, ”How</w:t>
      </w:r>
      <w:proofErr w:type="gramEnd"/>
      <w:r>
        <w:t xml:space="preserve"> Safe Is Safe Enough? Radiation Risk for a Human Mission to Mars,” </w:t>
      </w:r>
      <w:proofErr w:type="spellStart"/>
      <w:r>
        <w:t>PLoS</w:t>
      </w:r>
      <w:proofErr w:type="spellEnd"/>
      <w:r>
        <w:t xml:space="preserve"> ONE, vol. 8, no. 10, pp. 1-9, 2013</w:t>
      </w:r>
    </w:p>
    <w:p w14:paraId="1527FECB" w14:textId="77777777" w:rsidR="00E24B42" w:rsidRDefault="004957E3">
      <w:pPr>
        <w:numPr>
          <w:ilvl w:val="0"/>
          <w:numId w:val="1"/>
        </w:numPr>
      </w:pPr>
      <w:r>
        <w:t xml:space="preserve">F. A. </w:t>
      </w:r>
      <w:proofErr w:type="spellStart"/>
      <w:r>
        <w:t>Cucinotta</w:t>
      </w:r>
      <w:proofErr w:type="spellEnd"/>
      <w:r>
        <w:t xml:space="preserve"> and M. Durant</w:t>
      </w:r>
      <w:proofErr w:type="gramStart"/>
      <w:r>
        <w:t>, ”Risk</w:t>
      </w:r>
      <w:proofErr w:type="gramEnd"/>
      <w:r>
        <w:t xml:space="preserve"> of</w:t>
      </w:r>
      <w:r>
        <w:t xml:space="preserve"> Radiation Carcinogenesis,” in Human Health and Performance Risks of Space Exploration Missions, J. C. M. a. J. B. Charles, Ed., Washington, DC: NASA, 2010, pp. 119- 169.</w:t>
      </w:r>
    </w:p>
    <w:p w14:paraId="3A665E7B" w14:textId="77777777" w:rsidR="00E24B42" w:rsidRDefault="004957E3">
      <w:pPr>
        <w:numPr>
          <w:ilvl w:val="0"/>
          <w:numId w:val="1"/>
        </w:numPr>
      </w:pPr>
      <w:r>
        <w:t xml:space="preserve">A. M. </w:t>
      </w:r>
      <w:proofErr w:type="spellStart"/>
      <w:r>
        <w:t>Sieffert</w:t>
      </w:r>
      <w:proofErr w:type="spellEnd"/>
      <w:proofErr w:type="gramStart"/>
      <w:r>
        <w:t>, ”Astronaut</w:t>
      </w:r>
      <w:proofErr w:type="gramEnd"/>
      <w:r>
        <w:t xml:space="preserve"> Health Safety Regulations Ionizing Radiation,” The SciTech</w:t>
      </w:r>
      <w:r>
        <w:t xml:space="preserve"> Lawyer, vol. 10, no. 4, pp. 20-22, 2014</w:t>
      </w:r>
    </w:p>
    <w:p w14:paraId="04435906" w14:textId="77777777" w:rsidR="00E24B42" w:rsidRDefault="004957E3">
      <w:pPr>
        <w:numPr>
          <w:ilvl w:val="0"/>
          <w:numId w:val="1"/>
        </w:numPr>
        <w:spacing w:after="5743"/>
      </w:pPr>
      <w:r>
        <w:t>K. Worden</w:t>
      </w:r>
      <w:proofErr w:type="gramStart"/>
      <w:r>
        <w:t>, ”Reducing</w:t>
      </w:r>
      <w:proofErr w:type="gramEnd"/>
      <w:r>
        <w:t xml:space="preserve"> Human Radiation Risks on Deep Space Missions,” Naval Postgraduate School, Monterey, CA, 2017</w:t>
      </w:r>
    </w:p>
    <w:p w14:paraId="26BAE178" w14:textId="77777777" w:rsidR="00E24B42" w:rsidRDefault="004957E3">
      <w:pPr>
        <w:spacing w:after="3" w:line="262" w:lineRule="auto"/>
        <w:ind w:left="403" w:right="393" w:hanging="10"/>
        <w:jc w:val="center"/>
      </w:pPr>
      <w:r>
        <w:lastRenderedPageBreak/>
        <w:t>2</w:t>
      </w:r>
    </w:p>
    <w:sectPr w:rsidR="00E24B42">
      <w:pgSz w:w="12240" w:h="15840"/>
      <w:pgMar w:top="960" w:right="1814" w:bottom="267" w:left="18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1884"/>
    <w:multiLevelType w:val="multilevel"/>
    <w:tmpl w:val="82FA4B6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FE1C35"/>
    <w:multiLevelType w:val="hybridMultilevel"/>
    <w:tmpl w:val="819A7DA8"/>
    <w:lvl w:ilvl="0" w:tplc="FC0C16B2">
      <w:start w:val="1"/>
      <w:numFmt w:val="decimal"/>
      <w:lvlText w:val="[%1]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C004BE">
      <w:start w:val="1"/>
      <w:numFmt w:val="lowerLetter"/>
      <w:lvlText w:val="%2"/>
      <w:lvlJc w:val="left"/>
      <w:pPr>
        <w:ind w:left="1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088E4">
      <w:start w:val="1"/>
      <w:numFmt w:val="lowerRoman"/>
      <w:lvlText w:val="%3"/>
      <w:lvlJc w:val="left"/>
      <w:pPr>
        <w:ind w:left="1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E04BC">
      <w:start w:val="1"/>
      <w:numFmt w:val="decimal"/>
      <w:lvlText w:val="%4"/>
      <w:lvlJc w:val="left"/>
      <w:pPr>
        <w:ind w:left="2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604206">
      <w:start w:val="1"/>
      <w:numFmt w:val="lowerLetter"/>
      <w:lvlText w:val="%5"/>
      <w:lvlJc w:val="left"/>
      <w:pPr>
        <w:ind w:left="3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26066">
      <w:start w:val="1"/>
      <w:numFmt w:val="lowerRoman"/>
      <w:lvlText w:val="%6"/>
      <w:lvlJc w:val="left"/>
      <w:pPr>
        <w:ind w:left="3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6364A">
      <w:start w:val="1"/>
      <w:numFmt w:val="decimal"/>
      <w:lvlText w:val="%7"/>
      <w:lvlJc w:val="left"/>
      <w:pPr>
        <w:ind w:left="4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1E582E">
      <w:start w:val="1"/>
      <w:numFmt w:val="lowerLetter"/>
      <w:lvlText w:val="%8"/>
      <w:lvlJc w:val="left"/>
      <w:pPr>
        <w:ind w:left="5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68650">
      <w:start w:val="1"/>
      <w:numFmt w:val="lowerRoman"/>
      <w:lvlText w:val="%9"/>
      <w:lvlJc w:val="left"/>
      <w:pPr>
        <w:ind w:left="61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42"/>
    <w:rsid w:val="004957E3"/>
    <w:rsid w:val="00E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2A06"/>
  <w15:docId w15:val="{851094A5-83BE-4533-A51D-62EBEAE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2" w:line="257" w:lineRule="auto"/>
      <w:ind w:firstLine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3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1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Eisen</dc:creator>
  <cp:keywords/>
  <cp:lastModifiedBy>Daniel Eisen</cp:lastModifiedBy>
  <cp:revision>2</cp:revision>
  <dcterms:created xsi:type="dcterms:W3CDTF">2019-08-08T04:11:00Z</dcterms:created>
  <dcterms:modified xsi:type="dcterms:W3CDTF">2019-08-08T04:11:00Z</dcterms:modified>
</cp:coreProperties>
</file>