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DAY 19</w:t>
      </w:r>
    </w:p>
    <w:p>
      <w:pPr>
        <w:jc w:val="center"/>
      </w:pPr>
      <w:r>
        <w:rPr>
          <w:b/>
          <w:sz w:val="48"/>
        </w:rPr>
        <w:t>Insight Validation &amp; Sensitivity Analysis</w:t>
      </w:r>
    </w:p>
    <w:p>
      <w:pPr>
        <w:jc w:val="center"/>
      </w:pPr>
      <w:r>
        <w:rPr>
          <w:b/>
          <w:sz w:val="28"/>
        </w:rPr>
        <w:t>Retail Customer Sales Performance Analysis and Executive Dashboard</w:t>
      </w:r>
    </w:p>
    <w:p>
      <w:pPr>
        <w:jc w:val="center"/>
      </w:pPr>
      <w:r>
        <w:rPr>
          <w:sz w:val="22"/>
        </w:rPr>
        <w:t>AI Lab 99 – Data Analytics Internship Program 2026</w:t>
      </w:r>
    </w:p>
    <w:p>
      <w:pPr>
        <w:jc w:val="center"/>
      </w:pPr>
      <w:r>
        <w:rPr>
          <w:sz w:val="22"/>
        </w:rPr>
        <w:t>Role: Junior Data Analyst</w:t>
      </w:r>
    </w:p>
    <w:p>
      <w:pPr>
        <w:jc w:val="center"/>
      </w:pPr>
      <w:r>
        <w:rPr>
          <w:sz w:val="22"/>
        </w:rPr>
        <w:t>Tools: SQL • Excel • Python • Power BI</w:t>
      </w:r>
    </w:p>
    <w:p>
      <w:pPr>
        <w:jc w:val="center"/>
      </w:pPr>
      <w:r>
        <w:rPr>
          <w:sz w:val="22"/>
        </w:rPr>
        <w:t>Submission Deliverable – Day 19</w:t>
      </w:r>
    </w:p>
    <w:p>
      <w:r>
        <w:br w:type="page"/>
      </w:r>
    </w:p>
    <w:p>
      <w:pPr>
        <w:pStyle w:val="Heading1"/>
      </w:pPr>
      <w:r>
        <w:t>1. Executive Summary</w:t>
      </w:r>
    </w:p>
    <w:p>
      <w:r>
        <w:t>Day 19 focuses on testing analytical findings before stakeholder presentation. This report validates the major business findings from the Retail Customer Sales Performance Analysis project by checking supporting KPIs, evidence, segments, alternative explanations, confounders, and sensitivity to reasonable analytical assumptions.</w:t>
      </w:r>
    </w:p>
    <w:p>
      <w:r>
        <w:t>The priority customer-value finding was subjected to an outlier sensitivity test. The conclusion is considered stable when the highest-value transaction is excluded, while several other findings are retained at medium confidence because order volume, campaign exposure, customer count, or segment size can affect their interpretation.</w:t>
      </w:r>
    </w:p>
    <w:p>
      <w:pPr>
        <w:pStyle w:val="Heading1"/>
      </w:pPr>
      <w:r>
        <w:t>2. Objectives</w:t>
      </w:r>
    </w:p>
    <w:p>
      <w:pPr>
        <w:pStyle w:val="ListBullet"/>
      </w:pPr>
      <w:r>
        <w:t>Create a complete Insight Validation Register.</w:t>
      </w:r>
    </w:p>
    <w:p>
      <w:pPr>
        <w:pStyle w:val="ListBullet"/>
      </w:pPr>
      <w:r>
        <w:t>Verify that major findings are supported by KPIs and analytical evidence.</w:t>
      </w:r>
    </w:p>
    <w:p>
      <w:pPr>
        <w:pStyle w:val="ListBullet"/>
      </w:pPr>
      <w:r>
        <w:t>Challenge each finding using alternative explanations and possible confounders.</w:t>
      </w:r>
    </w:p>
    <w:p>
      <w:pPr>
        <w:pStyle w:val="ListBullet"/>
      </w:pPr>
      <w:r>
        <w:t>Check findings across relevant customer, product, campaign, store, and geographic segments.</w:t>
      </w:r>
    </w:p>
    <w:p>
      <w:pPr>
        <w:pStyle w:val="ListBullet"/>
      </w:pPr>
      <w:r>
        <w:t>Perform at least one sensitivity analysis using a reasonable alternative assumption.</w:t>
      </w:r>
    </w:p>
    <w:p>
      <w:pPr>
        <w:pStyle w:val="ListBullet"/>
      </w:pPr>
      <w:r>
        <w:t>Assign High, Medium, or Low confidence to priority findings.</w:t>
      </w:r>
    </w:p>
    <w:p>
      <w:pPr>
        <w:pStyle w:val="ListBullet"/>
      </w:pPr>
      <w:r>
        <w:t>Decide which findings are suitable for the final dashboard.</w:t>
      </w:r>
    </w:p>
    <w:p>
      <w:pPr>
        <w:pStyle w:val="Heading1"/>
      </w:pPr>
      <w:r>
        <w:t>3. Data &amp; Project Context</w:t>
      </w:r>
    </w:p>
    <w:p>
      <w:r>
        <w:t>The report uses the cleaned retail sales dataset prepared for the Week 2 project. The validated dataset was reported as 20 records with 16 analysis-ready fields, 0 missing cells, and 0 duplicate rows after cleaning and validation. The analytical layer includes customer, product, order/transaction, campaign, store, geographic, and payment-related information.</w:t>
      </w:r>
    </w:p>
    <w:p>
      <w:pPr>
        <w:pStyle w:val="Heading1"/>
      </w:pPr>
      <w:r>
        <w:t>4. Validation Framework</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rFonts w:ascii="Arial" w:hAnsi="Arial"/>
                <w:b/>
                <w:sz w:val="16"/>
              </w:rPr>
              <w:t>Stage</w:t>
            </w:r>
          </w:p>
        </w:tc>
        <w:tc>
          <w:tcPr>
            <w:tcW w:type="dxa" w:w="5184"/>
            <w:vAlign w:val="center"/>
            <w:shd w:fill="D9EAF7"/>
          </w:tcPr>
          <w:p>
            <w:r/>
            <w:r>
              <w:rPr>
                <w:rFonts w:ascii="Arial" w:hAnsi="Arial"/>
                <w:b/>
                <w:sz w:val="16"/>
              </w:rPr>
              <w:t>Activity</w:t>
            </w:r>
          </w:p>
        </w:tc>
      </w:tr>
      <w:tr>
        <w:tc>
          <w:tcPr>
            <w:tcW w:type="dxa" w:w="5184"/>
            <w:vAlign w:val="center"/>
          </w:tcPr>
          <w:p>
            <w:r/>
            <w:r>
              <w:rPr>
                <w:rFonts w:ascii="Arial" w:hAnsi="Arial"/>
                <w:b w:val="0"/>
                <w:sz w:val="16"/>
              </w:rPr>
              <w:t>1. Identify</w:t>
            </w:r>
          </w:p>
        </w:tc>
        <w:tc>
          <w:tcPr>
            <w:tcW w:type="dxa" w:w="5184"/>
            <w:vAlign w:val="center"/>
          </w:tcPr>
          <w:p>
            <w:r/>
            <w:r>
              <w:rPr>
                <w:rFonts w:ascii="Arial" w:hAnsi="Arial"/>
                <w:b w:val="0"/>
                <w:sz w:val="16"/>
              </w:rPr>
              <w:t>List the major business findings produced by the analysis.</w:t>
            </w:r>
          </w:p>
        </w:tc>
      </w:tr>
      <w:tr>
        <w:tc>
          <w:tcPr>
            <w:tcW w:type="dxa" w:w="5184"/>
            <w:vAlign w:val="center"/>
          </w:tcPr>
          <w:p>
            <w:r/>
            <w:r>
              <w:rPr>
                <w:rFonts w:ascii="Arial" w:hAnsi="Arial"/>
                <w:b w:val="0"/>
                <w:sz w:val="16"/>
              </w:rPr>
              <w:t>2. Evidence Check</w:t>
            </w:r>
          </w:p>
        </w:tc>
        <w:tc>
          <w:tcPr>
            <w:tcW w:type="dxa" w:w="5184"/>
            <w:vAlign w:val="center"/>
          </w:tcPr>
          <w:p>
            <w:r/>
            <w:r>
              <w:rPr>
                <w:rFonts w:ascii="Arial" w:hAnsi="Arial"/>
                <w:b w:val="0"/>
                <w:sz w:val="16"/>
              </w:rPr>
              <w:t>Confirm the finding has an appropriate KPI and supporting analytical evidence.</w:t>
            </w:r>
          </w:p>
        </w:tc>
      </w:tr>
      <w:tr>
        <w:tc>
          <w:tcPr>
            <w:tcW w:type="dxa" w:w="5184"/>
            <w:vAlign w:val="center"/>
          </w:tcPr>
          <w:p>
            <w:r/>
            <w:r>
              <w:rPr>
                <w:rFonts w:ascii="Arial" w:hAnsi="Arial"/>
                <w:b w:val="0"/>
                <w:sz w:val="16"/>
              </w:rPr>
              <w:t>3. Challenge</w:t>
            </w:r>
          </w:p>
        </w:tc>
        <w:tc>
          <w:tcPr>
            <w:tcW w:type="dxa" w:w="5184"/>
            <w:vAlign w:val="center"/>
          </w:tcPr>
          <w:p>
            <w:r/>
            <w:r>
              <w:rPr>
                <w:rFonts w:ascii="Arial" w:hAnsi="Arial"/>
                <w:b w:val="0"/>
                <w:sz w:val="16"/>
              </w:rPr>
              <w:t>Ask whether seasonality, outliers, segment dominance, comparison period, missing data, or another KPI changes the interpretation.</w:t>
            </w:r>
          </w:p>
        </w:tc>
      </w:tr>
      <w:tr>
        <w:tc>
          <w:tcPr>
            <w:tcW w:type="dxa" w:w="5184"/>
            <w:vAlign w:val="center"/>
          </w:tcPr>
          <w:p>
            <w:r/>
            <w:r>
              <w:rPr>
                <w:rFonts w:ascii="Arial" w:hAnsi="Arial"/>
                <w:b w:val="0"/>
                <w:sz w:val="16"/>
              </w:rPr>
              <w:t>4. Segment Check</w:t>
            </w:r>
          </w:p>
        </w:tc>
        <w:tc>
          <w:tcPr>
            <w:tcW w:type="dxa" w:w="5184"/>
            <w:vAlign w:val="center"/>
          </w:tcPr>
          <w:p>
            <w:r/>
            <w:r>
              <w:rPr>
                <w:rFonts w:ascii="Arial" w:hAnsi="Arial"/>
                <w:b w:val="0"/>
                <w:sz w:val="16"/>
              </w:rPr>
              <w:t>Review the finding across relevant customer, product, campaign, store, and geographic segments.</w:t>
            </w:r>
          </w:p>
        </w:tc>
      </w:tr>
      <w:tr>
        <w:tc>
          <w:tcPr>
            <w:tcW w:type="dxa" w:w="5184"/>
            <w:vAlign w:val="center"/>
          </w:tcPr>
          <w:p>
            <w:r/>
            <w:r>
              <w:rPr>
                <w:rFonts w:ascii="Arial" w:hAnsi="Arial"/>
                <w:b w:val="0"/>
                <w:sz w:val="16"/>
              </w:rPr>
              <w:t>5. Sensitivity Test</w:t>
            </w:r>
          </w:p>
        </w:tc>
        <w:tc>
          <w:tcPr>
            <w:tcW w:type="dxa" w:w="5184"/>
            <w:vAlign w:val="center"/>
          </w:tcPr>
          <w:p>
            <w:r/>
            <w:r>
              <w:rPr>
                <w:rFonts w:ascii="Arial" w:hAnsi="Arial"/>
                <w:b w:val="0"/>
                <w:sz w:val="16"/>
              </w:rPr>
              <w:t>Change one reasonable assumption and recalculate the priority finding.</w:t>
            </w:r>
          </w:p>
        </w:tc>
      </w:tr>
      <w:tr>
        <w:tc>
          <w:tcPr>
            <w:tcW w:type="dxa" w:w="5184"/>
            <w:vAlign w:val="center"/>
          </w:tcPr>
          <w:p>
            <w:r/>
            <w:r>
              <w:rPr>
                <w:rFonts w:ascii="Arial" w:hAnsi="Arial"/>
                <w:b w:val="0"/>
                <w:sz w:val="16"/>
              </w:rPr>
              <w:t>6. Confidence Rating</w:t>
            </w:r>
          </w:p>
        </w:tc>
        <w:tc>
          <w:tcPr>
            <w:tcW w:type="dxa" w:w="5184"/>
            <w:vAlign w:val="center"/>
          </w:tcPr>
          <w:p>
            <w:r/>
            <w:r>
              <w:rPr>
                <w:rFonts w:ascii="Arial" w:hAnsi="Arial"/>
                <w:b w:val="0"/>
                <w:sz w:val="16"/>
              </w:rPr>
              <w:t>Classify findings as High, Medium, or Low confidence.</w:t>
            </w:r>
          </w:p>
        </w:tc>
      </w:tr>
      <w:tr>
        <w:tc>
          <w:tcPr>
            <w:tcW w:type="dxa" w:w="5184"/>
            <w:vAlign w:val="center"/>
          </w:tcPr>
          <w:p>
            <w:r/>
            <w:r>
              <w:rPr>
                <w:rFonts w:ascii="Arial" w:hAnsi="Arial"/>
                <w:b w:val="0"/>
                <w:sz w:val="16"/>
              </w:rPr>
              <w:t>7. Dashboard Decision</w:t>
            </w:r>
          </w:p>
        </w:tc>
        <w:tc>
          <w:tcPr>
            <w:tcW w:type="dxa" w:w="5184"/>
            <w:vAlign w:val="center"/>
          </w:tcPr>
          <w:p>
            <w:r/>
            <w:r>
              <w:rPr>
                <w:rFonts w:ascii="Arial" w:hAnsi="Arial"/>
                <w:b w:val="0"/>
                <w:sz w:val="16"/>
              </w:rPr>
              <w:t>Carry only validated findings forward, with limitations where necessary.</w:t>
            </w:r>
          </w:p>
        </w:tc>
      </w:tr>
    </w:tbl>
    <w:p/>
    <w:p>
      <w:pPr>
        <w:pStyle w:val="Heading1"/>
      </w:pPr>
      <w:r>
        <w:t>5. Insight Validation Register</w:t>
      </w:r>
    </w:p>
    <w:tbl>
      <w:tblPr>
        <w:tblStyle w:val="TableGrid"/>
        <w:tblW w:type="auto" w:w="0"/>
        <w:jc w:val="center"/>
        <w:tblLook w:firstColumn="1" w:firstRow="1" w:lastColumn="0" w:lastRow="0" w:noHBand="0" w:noVBand="1" w:val="04A0"/>
      </w:tblPr>
      <w:tblGrid>
        <w:gridCol w:w="1037"/>
        <w:gridCol w:w="1037"/>
        <w:gridCol w:w="1037"/>
        <w:gridCol w:w="1037"/>
        <w:gridCol w:w="1037"/>
        <w:gridCol w:w="1037"/>
        <w:gridCol w:w="1037"/>
        <w:gridCol w:w="1037"/>
        <w:gridCol w:w="1037"/>
        <w:gridCol w:w="1037"/>
      </w:tblGrid>
      <w:tr>
        <w:tc>
          <w:tcPr>
            <w:tcW w:type="dxa" w:w="1037"/>
            <w:vAlign w:val="center"/>
            <w:shd w:fill="D9EAF7"/>
          </w:tcPr>
          <w:p>
            <w:r/>
            <w:r>
              <w:rPr>
                <w:rFonts w:ascii="Arial" w:hAnsi="Arial"/>
                <w:b/>
                <w:sz w:val="12"/>
              </w:rPr>
              <w:t>ID</w:t>
            </w:r>
          </w:p>
        </w:tc>
        <w:tc>
          <w:tcPr>
            <w:tcW w:type="dxa" w:w="1037"/>
            <w:vAlign w:val="center"/>
            <w:shd w:fill="D9EAF7"/>
          </w:tcPr>
          <w:p>
            <w:r/>
            <w:r>
              <w:rPr>
                <w:rFonts w:ascii="Arial" w:hAnsi="Arial"/>
                <w:b/>
                <w:sz w:val="12"/>
              </w:rPr>
              <w:t>Business Finding</w:t>
            </w:r>
          </w:p>
        </w:tc>
        <w:tc>
          <w:tcPr>
            <w:tcW w:type="dxa" w:w="1037"/>
            <w:vAlign w:val="center"/>
            <w:shd w:fill="D9EAF7"/>
          </w:tcPr>
          <w:p>
            <w:r/>
            <w:r>
              <w:rPr>
                <w:rFonts w:ascii="Arial" w:hAnsi="Arial"/>
                <w:b/>
                <w:sz w:val="12"/>
              </w:rPr>
              <w:t>Supporting KPI</w:t>
            </w:r>
          </w:p>
        </w:tc>
        <w:tc>
          <w:tcPr>
            <w:tcW w:type="dxa" w:w="1037"/>
            <w:vAlign w:val="center"/>
            <w:shd w:fill="D9EAF7"/>
          </w:tcPr>
          <w:p>
            <w:r/>
            <w:r>
              <w:rPr>
                <w:rFonts w:ascii="Arial" w:hAnsi="Arial"/>
                <w:b/>
                <w:sz w:val="12"/>
              </w:rPr>
              <w:t>Supporting Evidence</w:t>
            </w:r>
          </w:p>
        </w:tc>
        <w:tc>
          <w:tcPr>
            <w:tcW w:type="dxa" w:w="1037"/>
            <w:vAlign w:val="center"/>
            <w:shd w:fill="D9EAF7"/>
          </w:tcPr>
          <w:p>
            <w:r/>
            <w:r>
              <w:rPr>
                <w:rFonts w:ascii="Arial" w:hAnsi="Arial"/>
                <w:b/>
                <w:sz w:val="12"/>
              </w:rPr>
              <w:t>Segments Checked</w:t>
            </w:r>
          </w:p>
        </w:tc>
        <w:tc>
          <w:tcPr>
            <w:tcW w:type="dxa" w:w="1037"/>
            <w:vAlign w:val="center"/>
            <w:shd w:fill="D9EAF7"/>
          </w:tcPr>
          <w:p>
            <w:r/>
            <w:r>
              <w:rPr>
                <w:rFonts w:ascii="Arial" w:hAnsi="Arial"/>
                <w:b/>
                <w:sz w:val="12"/>
              </w:rPr>
              <w:t>Alternative Explanation</w:t>
            </w:r>
          </w:p>
        </w:tc>
        <w:tc>
          <w:tcPr>
            <w:tcW w:type="dxa" w:w="1037"/>
            <w:vAlign w:val="center"/>
            <w:shd w:fill="D9EAF7"/>
          </w:tcPr>
          <w:p>
            <w:r/>
            <w:r>
              <w:rPr>
                <w:rFonts w:ascii="Arial" w:hAnsi="Arial"/>
                <w:b/>
                <w:sz w:val="12"/>
              </w:rPr>
              <w:t>Potential Confounders</w:t>
            </w:r>
          </w:p>
        </w:tc>
        <w:tc>
          <w:tcPr>
            <w:tcW w:type="dxa" w:w="1037"/>
            <w:vAlign w:val="center"/>
            <w:shd w:fill="D9EAF7"/>
          </w:tcPr>
          <w:p>
            <w:r/>
            <w:r>
              <w:rPr>
                <w:rFonts w:ascii="Arial" w:hAnsi="Arial"/>
                <w:b/>
                <w:sz w:val="12"/>
              </w:rPr>
              <w:t>Sensitivity Test</w:t>
            </w:r>
          </w:p>
        </w:tc>
        <w:tc>
          <w:tcPr>
            <w:tcW w:type="dxa" w:w="1037"/>
            <w:vAlign w:val="center"/>
            <w:shd w:fill="D9EAF7"/>
          </w:tcPr>
          <w:p>
            <w:r/>
            <w:r>
              <w:rPr>
                <w:rFonts w:ascii="Arial" w:hAnsi="Arial"/>
                <w:b/>
                <w:sz w:val="12"/>
              </w:rPr>
              <w:t>Business Impact</w:t>
            </w:r>
          </w:p>
        </w:tc>
        <w:tc>
          <w:tcPr>
            <w:tcW w:type="dxa" w:w="1037"/>
            <w:vAlign w:val="center"/>
            <w:shd w:fill="D9EAF7"/>
          </w:tcPr>
          <w:p>
            <w:r/>
            <w:r>
              <w:rPr>
                <w:rFonts w:ascii="Arial" w:hAnsi="Arial"/>
                <w:b/>
                <w:sz w:val="12"/>
              </w:rPr>
              <w:t>Confidence</w:t>
            </w:r>
          </w:p>
        </w:tc>
      </w:tr>
      <w:tr>
        <w:tc>
          <w:tcPr>
            <w:tcW w:type="dxa" w:w="1037"/>
            <w:vAlign w:val="center"/>
          </w:tcPr>
          <w:p>
            <w:r/>
            <w:r>
              <w:rPr>
                <w:rFonts w:ascii="Arial" w:hAnsi="Arial"/>
                <w:b w:val="0"/>
                <w:sz w:val="12"/>
              </w:rPr>
              <w:t>IV-01</w:t>
            </w:r>
          </w:p>
        </w:tc>
        <w:tc>
          <w:tcPr>
            <w:tcW w:type="dxa" w:w="1037"/>
            <w:vAlign w:val="center"/>
          </w:tcPr>
          <w:p>
            <w:r/>
            <w:r>
              <w:rPr>
                <w:rFonts w:ascii="Arial" w:hAnsi="Arial"/>
                <w:b w:val="0"/>
                <w:sz w:val="12"/>
              </w:rPr>
              <w:t>High-value customers contribute disproportionately to revenue.</w:t>
            </w:r>
          </w:p>
        </w:tc>
        <w:tc>
          <w:tcPr>
            <w:tcW w:type="dxa" w:w="1037"/>
            <w:vAlign w:val="center"/>
          </w:tcPr>
          <w:p>
            <w:r/>
            <w:r>
              <w:rPr>
                <w:rFonts w:ascii="Arial" w:hAnsi="Arial"/>
                <w:b w:val="0"/>
                <w:sz w:val="12"/>
              </w:rPr>
              <w:t>Customer Revenue; Total Revenue; AOV; Purchase Frequency</w:t>
            </w:r>
          </w:p>
        </w:tc>
        <w:tc>
          <w:tcPr>
            <w:tcW w:type="dxa" w:w="1037"/>
            <w:vAlign w:val="center"/>
          </w:tcPr>
          <w:p>
            <w:r/>
            <w:r>
              <w:rPr>
                <w:rFonts w:ascii="Arial" w:hAnsi="Arial"/>
                <w:b w:val="0"/>
                <w:sz w:val="12"/>
              </w:rPr>
              <w:t>Customer-level revenue aggregation and ranking.</w:t>
            </w:r>
          </w:p>
        </w:tc>
        <w:tc>
          <w:tcPr>
            <w:tcW w:type="dxa" w:w="1037"/>
            <w:vAlign w:val="center"/>
          </w:tcPr>
          <w:p>
            <w:r/>
            <w:r>
              <w:rPr>
                <w:rFonts w:ascii="Arial" w:hAnsi="Arial"/>
                <w:b w:val="0"/>
                <w:sz w:val="12"/>
              </w:rPr>
              <w:t>Customer groups; high/low-value customers; purchase frequency.</w:t>
            </w:r>
          </w:p>
        </w:tc>
        <w:tc>
          <w:tcPr>
            <w:tcW w:type="dxa" w:w="1037"/>
            <w:vAlign w:val="center"/>
          </w:tcPr>
          <w:p>
            <w:r/>
            <w:r>
              <w:rPr>
                <w:rFonts w:ascii="Arial" w:hAnsi="Arial"/>
                <w:b w:val="0"/>
                <w:sz w:val="12"/>
              </w:rPr>
              <w:t>A few unusually large transactions could create apparent concentration.</w:t>
            </w:r>
          </w:p>
        </w:tc>
        <w:tc>
          <w:tcPr>
            <w:tcW w:type="dxa" w:w="1037"/>
            <w:vAlign w:val="center"/>
          </w:tcPr>
          <w:p>
            <w:r/>
            <w:r>
              <w:rPr>
                <w:rFonts w:ascii="Arial" w:hAnsi="Arial"/>
                <w:b w:val="0"/>
                <w:sz w:val="12"/>
              </w:rPr>
              <w:t>Outlier transactions; small sample size.</w:t>
            </w:r>
          </w:p>
        </w:tc>
        <w:tc>
          <w:tcPr>
            <w:tcW w:type="dxa" w:w="1037"/>
            <w:vAlign w:val="center"/>
          </w:tcPr>
          <w:p>
            <w:r/>
            <w:r>
              <w:rPr>
                <w:rFonts w:ascii="Arial" w:hAnsi="Arial"/>
                <w:b w:val="0"/>
                <w:sz w:val="12"/>
              </w:rPr>
              <w:t>Exclude the single highest-value transaction and reassess concentration.</w:t>
            </w:r>
          </w:p>
        </w:tc>
        <w:tc>
          <w:tcPr>
            <w:tcW w:type="dxa" w:w="1037"/>
            <w:vAlign w:val="center"/>
          </w:tcPr>
          <w:p>
            <w:r/>
            <w:r>
              <w:rPr>
                <w:rFonts w:ascii="Arial" w:hAnsi="Arial"/>
                <w:b w:val="0"/>
                <w:sz w:val="12"/>
              </w:rPr>
              <w:t>Supports VIP identification, retention and loyalty strategy.</w:t>
            </w:r>
          </w:p>
        </w:tc>
        <w:tc>
          <w:tcPr>
            <w:tcW w:type="dxa" w:w="1037"/>
            <w:vAlign w:val="center"/>
          </w:tcPr>
          <w:p>
            <w:r/>
            <w:r>
              <w:rPr>
                <w:rFonts w:ascii="Arial" w:hAnsi="Arial"/>
                <w:b w:val="0"/>
                <w:sz w:val="12"/>
              </w:rPr>
              <w:t>High</w:t>
            </w:r>
          </w:p>
        </w:tc>
      </w:tr>
      <w:tr>
        <w:tc>
          <w:tcPr>
            <w:tcW w:type="dxa" w:w="1037"/>
            <w:vAlign w:val="center"/>
          </w:tcPr>
          <w:p>
            <w:r/>
            <w:r>
              <w:rPr>
                <w:rFonts w:ascii="Arial" w:hAnsi="Arial"/>
                <w:b w:val="0"/>
                <w:sz w:val="12"/>
              </w:rPr>
              <w:t>IV-02</w:t>
            </w:r>
          </w:p>
        </w:tc>
        <w:tc>
          <w:tcPr>
            <w:tcW w:type="dxa" w:w="1037"/>
            <w:vAlign w:val="center"/>
          </w:tcPr>
          <w:p>
            <w:r/>
            <w:r>
              <w:rPr>
                <w:rFonts w:ascii="Arial" w:hAnsi="Arial"/>
                <w:b w:val="0"/>
                <w:sz w:val="12"/>
              </w:rPr>
              <w:t>Sales performance varies across the analyzed months.</w:t>
            </w:r>
          </w:p>
        </w:tc>
        <w:tc>
          <w:tcPr>
            <w:tcW w:type="dxa" w:w="1037"/>
            <w:vAlign w:val="center"/>
          </w:tcPr>
          <w:p>
            <w:r/>
            <w:r>
              <w:rPr>
                <w:rFonts w:ascii="Arial" w:hAnsi="Arial"/>
                <w:b w:val="0"/>
                <w:sz w:val="12"/>
              </w:rPr>
              <w:t>Monthly Revenue; Orders; AOV</w:t>
            </w:r>
          </w:p>
        </w:tc>
        <w:tc>
          <w:tcPr>
            <w:tcW w:type="dxa" w:w="1037"/>
            <w:vAlign w:val="center"/>
          </w:tcPr>
          <w:p>
            <w:r/>
            <w:r>
              <w:rPr>
                <w:rFonts w:ascii="Arial" w:hAnsi="Arial"/>
                <w:b w:val="0"/>
                <w:sz w:val="12"/>
              </w:rPr>
              <w:t>Monthly aggregation and trend analysis.</w:t>
            </w:r>
          </w:p>
        </w:tc>
        <w:tc>
          <w:tcPr>
            <w:tcW w:type="dxa" w:w="1037"/>
            <w:vAlign w:val="center"/>
          </w:tcPr>
          <w:p>
            <w:r/>
            <w:r>
              <w:rPr>
                <w:rFonts w:ascii="Arial" w:hAnsi="Arial"/>
                <w:b w:val="0"/>
                <w:sz w:val="12"/>
              </w:rPr>
              <w:t>Months; products; stores; campaigns.</w:t>
            </w:r>
          </w:p>
        </w:tc>
        <w:tc>
          <w:tcPr>
            <w:tcW w:type="dxa" w:w="1037"/>
            <w:vAlign w:val="center"/>
          </w:tcPr>
          <w:p>
            <w:r/>
            <w:r>
              <w:rPr>
                <w:rFonts w:ascii="Arial" w:hAnsi="Arial"/>
                <w:b w:val="0"/>
                <w:sz w:val="12"/>
              </w:rPr>
              <w:t>Campaign timing or order volume may explain variation.</w:t>
            </w:r>
          </w:p>
        </w:tc>
        <w:tc>
          <w:tcPr>
            <w:tcW w:type="dxa" w:w="1037"/>
            <w:vAlign w:val="center"/>
          </w:tcPr>
          <w:p>
            <w:r/>
            <w:r>
              <w:rPr>
                <w:rFonts w:ascii="Arial" w:hAnsi="Arial"/>
                <w:b w:val="0"/>
                <w:sz w:val="12"/>
              </w:rPr>
              <w:t>Campaign exposure; transaction count; period length.</w:t>
            </w:r>
          </w:p>
        </w:tc>
        <w:tc>
          <w:tcPr>
            <w:tcW w:type="dxa" w:w="1037"/>
            <w:vAlign w:val="center"/>
          </w:tcPr>
          <w:p>
            <w:r/>
            <w:r>
              <w:rPr>
                <w:rFonts w:ascii="Arial" w:hAnsi="Arial"/>
                <w:b w:val="0"/>
                <w:sz w:val="12"/>
              </w:rPr>
              <w:t>Compare revenue with orders and AOV.</w:t>
            </w:r>
          </w:p>
        </w:tc>
        <w:tc>
          <w:tcPr>
            <w:tcW w:type="dxa" w:w="1037"/>
            <w:vAlign w:val="center"/>
          </w:tcPr>
          <w:p>
            <w:r/>
            <w:r>
              <w:rPr>
                <w:rFonts w:ascii="Arial" w:hAnsi="Arial"/>
                <w:b w:val="0"/>
                <w:sz w:val="12"/>
              </w:rPr>
              <w:t>Improves sales planning and campaign timing.</w:t>
            </w:r>
          </w:p>
        </w:tc>
        <w:tc>
          <w:tcPr>
            <w:tcW w:type="dxa" w:w="1037"/>
            <w:vAlign w:val="center"/>
          </w:tcPr>
          <w:p>
            <w:r/>
            <w:r>
              <w:rPr>
                <w:rFonts w:ascii="Arial" w:hAnsi="Arial"/>
                <w:b w:val="0"/>
                <w:sz w:val="12"/>
              </w:rPr>
              <w:t>Medium</w:t>
            </w:r>
          </w:p>
        </w:tc>
      </w:tr>
      <w:tr>
        <w:tc>
          <w:tcPr>
            <w:tcW w:type="dxa" w:w="1037"/>
            <w:vAlign w:val="center"/>
          </w:tcPr>
          <w:p>
            <w:r/>
            <w:r>
              <w:rPr>
                <w:rFonts w:ascii="Arial" w:hAnsi="Arial"/>
                <w:b w:val="0"/>
                <w:sz w:val="12"/>
              </w:rPr>
              <w:t>IV-03</w:t>
            </w:r>
          </w:p>
        </w:tc>
        <w:tc>
          <w:tcPr>
            <w:tcW w:type="dxa" w:w="1037"/>
            <w:vAlign w:val="center"/>
          </w:tcPr>
          <w:p>
            <w:r/>
            <w:r>
              <w:rPr>
                <w:rFonts w:ascii="Arial" w:hAnsi="Arial"/>
                <w:b w:val="0"/>
                <w:sz w:val="12"/>
              </w:rPr>
              <w:t>Some products generate substantially more revenue than others.</w:t>
            </w:r>
          </w:p>
        </w:tc>
        <w:tc>
          <w:tcPr>
            <w:tcW w:type="dxa" w:w="1037"/>
            <w:vAlign w:val="center"/>
          </w:tcPr>
          <w:p>
            <w:r/>
            <w:r>
              <w:rPr>
                <w:rFonts w:ascii="Arial" w:hAnsi="Arial"/>
                <w:b w:val="0"/>
                <w:sz w:val="12"/>
              </w:rPr>
              <w:t>Product Revenue; Units Sold; AOV</w:t>
            </w:r>
          </w:p>
        </w:tc>
        <w:tc>
          <w:tcPr>
            <w:tcW w:type="dxa" w:w="1037"/>
            <w:vAlign w:val="center"/>
          </w:tcPr>
          <w:p>
            <w:r/>
            <w:r>
              <w:rPr>
                <w:rFonts w:ascii="Arial" w:hAnsi="Arial"/>
                <w:b w:val="0"/>
                <w:sz w:val="12"/>
              </w:rPr>
              <w:t>Product-level revenue aggregation.</w:t>
            </w:r>
          </w:p>
        </w:tc>
        <w:tc>
          <w:tcPr>
            <w:tcW w:type="dxa" w:w="1037"/>
            <w:vAlign w:val="center"/>
          </w:tcPr>
          <w:p>
            <w:r/>
            <w:r>
              <w:rPr>
                <w:rFonts w:ascii="Arial" w:hAnsi="Arial"/>
                <w:b w:val="0"/>
                <w:sz w:val="12"/>
              </w:rPr>
              <w:t>Products; categories; units sold.</w:t>
            </w:r>
          </w:p>
        </w:tc>
        <w:tc>
          <w:tcPr>
            <w:tcW w:type="dxa" w:w="1037"/>
            <w:vAlign w:val="center"/>
          </w:tcPr>
          <w:p>
            <w:r/>
            <w:r>
              <w:rPr>
                <w:rFonts w:ascii="Arial" w:hAnsi="Arial"/>
                <w:b w:val="0"/>
                <w:sz w:val="12"/>
              </w:rPr>
              <w:t>Higher revenue may reflect higher prices rather than stronger demand.</w:t>
            </w:r>
          </w:p>
        </w:tc>
        <w:tc>
          <w:tcPr>
            <w:tcW w:type="dxa" w:w="1037"/>
            <w:vAlign w:val="center"/>
          </w:tcPr>
          <w:p>
            <w:r/>
            <w:r>
              <w:rPr>
                <w:rFonts w:ascii="Arial" w:hAnsi="Arial"/>
                <w:b w:val="0"/>
                <w:sz w:val="12"/>
              </w:rPr>
              <w:t>Price differences; units sold; product mix.</w:t>
            </w:r>
          </w:p>
        </w:tc>
        <w:tc>
          <w:tcPr>
            <w:tcW w:type="dxa" w:w="1037"/>
            <w:vAlign w:val="center"/>
          </w:tcPr>
          <w:p>
            <w:r/>
            <w:r>
              <w:rPr>
                <w:rFonts w:ascii="Arial" w:hAnsi="Arial"/>
                <w:b w:val="0"/>
                <w:sz w:val="12"/>
              </w:rPr>
              <w:t>Compare revenue with units sold and average selling value.</w:t>
            </w:r>
          </w:p>
        </w:tc>
        <w:tc>
          <w:tcPr>
            <w:tcW w:type="dxa" w:w="1037"/>
            <w:vAlign w:val="center"/>
          </w:tcPr>
          <w:p>
            <w:r/>
            <w:r>
              <w:rPr>
                <w:rFonts w:ascii="Arial" w:hAnsi="Arial"/>
                <w:b w:val="0"/>
                <w:sz w:val="12"/>
              </w:rPr>
              <w:t>Supports inventory and product prioritization.</w:t>
            </w:r>
          </w:p>
        </w:tc>
        <w:tc>
          <w:tcPr>
            <w:tcW w:type="dxa" w:w="1037"/>
            <w:vAlign w:val="center"/>
          </w:tcPr>
          <w:p>
            <w:r/>
            <w:r>
              <w:rPr>
                <w:rFonts w:ascii="Arial" w:hAnsi="Arial"/>
                <w:b w:val="0"/>
                <w:sz w:val="12"/>
              </w:rPr>
              <w:t>High</w:t>
            </w:r>
          </w:p>
        </w:tc>
      </w:tr>
      <w:tr>
        <w:tc>
          <w:tcPr>
            <w:tcW w:type="dxa" w:w="1037"/>
            <w:vAlign w:val="center"/>
          </w:tcPr>
          <w:p>
            <w:r/>
            <w:r>
              <w:rPr>
                <w:rFonts w:ascii="Arial" w:hAnsi="Arial"/>
                <w:b w:val="0"/>
                <w:sz w:val="12"/>
              </w:rPr>
              <w:t>IV-04</w:t>
            </w:r>
          </w:p>
        </w:tc>
        <w:tc>
          <w:tcPr>
            <w:tcW w:type="dxa" w:w="1037"/>
            <w:vAlign w:val="center"/>
          </w:tcPr>
          <w:p>
            <w:r/>
            <w:r>
              <w:rPr>
                <w:rFonts w:ascii="Arial" w:hAnsi="Arial"/>
                <w:b w:val="0"/>
                <w:sz w:val="12"/>
              </w:rPr>
              <w:t>Customer segments show different purchasing value/behavior.</w:t>
            </w:r>
          </w:p>
        </w:tc>
        <w:tc>
          <w:tcPr>
            <w:tcW w:type="dxa" w:w="1037"/>
            <w:vAlign w:val="center"/>
          </w:tcPr>
          <w:p>
            <w:r/>
            <w:r>
              <w:rPr>
                <w:rFonts w:ascii="Arial" w:hAnsi="Arial"/>
                <w:b w:val="0"/>
                <w:sz w:val="12"/>
              </w:rPr>
              <w:t>Customer Revenue; AOV; Purchase Frequency</w:t>
            </w:r>
          </w:p>
        </w:tc>
        <w:tc>
          <w:tcPr>
            <w:tcW w:type="dxa" w:w="1037"/>
            <w:vAlign w:val="center"/>
          </w:tcPr>
          <w:p>
            <w:r/>
            <w:r>
              <w:rPr>
                <w:rFonts w:ascii="Arial" w:hAnsi="Arial"/>
                <w:b w:val="0"/>
                <w:sz w:val="12"/>
              </w:rPr>
              <w:t>Customer segmentation and KPI comparison.</w:t>
            </w:r>
          </w:p>
        </w:tc>
        <w:tc>
          <w:tcPr>
            <w:tcW w:type="dxa" w:w="1037"/>
            <w:vAlign w:val="center"/>
          </w:tcPr>
          <w:p>
            <w:r/>
            <w:r>
              <w:rPr>
                <w:rFonts w:ascii="Arial" w:hAnsi="Arial"/>
                <w:b w:val="0"/>
                <w:sz w:val="12"/>
              </w:rPr>
              <w:t>Customer segments; frequency groups.</w:t>
            </w:r>
          </w:p>
        </w:tc>
        <w:tc>
          <w:tcPr>
            <w:tcW w:type="dxa" w:w="1037"/>
            <w:vAlign w:val="center"/>
          </w:tcPr>
          <w:p>
            <w:r/>
            <w:r>
              <w:rPr>
                <w:rFonts w:ascii="Arial" w:hAnsi="Arial"/>
                <w:b w:val="0"/>
                <w:sz w:val="12"/>
              </w:rPr>
              <w:t>Segment size may make totals appear different.</w:t>
            </w:r>
          </w:p>
        </w:tc>
        <w:tc>
          <w:tcPr>
            <w:tcW w:type="dxa" w:w="1037"/>
            <w:vAlign w:val="center"/>
          </w:tcPr>
          <w:p>
            <w:r/>
            <w:r>
              <w:rPr>
                <w:rFonts w:ascii="Arial" w:hAnsi="Arial"/>
                <w:b w:val="0"/>
                <w:sz w:val="12"/>
              </w:rPr>
              <w:t>Segment size; frequency; extreme customers.</w:t>
            </w:r>
          </w:p>
        </w:tc>
        <w:tc>
          <w:tcPr>
            <w:tcW w:type="dxa" w:w="1037"/>
            <w:vAlign w:val="center"/>
          </w:tcPr>
          <w:p>
            <w:r/>
            <w:r>
              <w:rPr>
                <w:rFonts w:ascii="Arial" w:hAnsi="Arial"/>
                <w:b w:val="0"/>
                <w:sz w:val="12"/>
              </w:rPr>
              <w:t>Compare total revenue and per-customer/AOV metrics.</w:t>
            </w:r>
          </w:p>
        </w:tc>
        <w:tc>
          <w:tcPr>
            <w:tcW w:type="dxa" w:w="1037"/>
            <w:vAlign w:val="center"/>
          </w:tcPr>
          <w:p>
            <w:r/>
            <w:r>
              <w:rPr>
                <w:rFonts w:ascii="Arial" w:hAnsi="Arial"/>
                <w:b w:val="0"/>
                <w:sz w:val="12"/>
              </w:rPr>
              <w:t>Supports targeted marketing and customer management.</w:t>
            </w:r>
          </w:p>
        </w:tc>
        <w:tc>
          <w:tcPr>
            <w:tcW w:type="dxa" w:w="1037"/>
            <w:vAlign w:val="center"/>
          </w:tcPr>
          <w:p>
            <w:r/>
            <w:r>
              <w:rPr>
                <w:rFonts w:ascii="Arial" w:hAnsi="Arial"/>
                <w:b w:val="0"/>
                <w:sz w:val="12"/>
              </w:rPr>
              <w:t>Medium</w:t>
            </w:r>
          </w:p>
        </w:tc>
      </w:tr>
      <w:tr>
        <w:tc>
          <w:tcPr>
            <w:tcW w:type="dxa" w:w="1037"/>
            <w:vAlign w:val="center"/>
          </w:tcPr>
          <w:p>
            <w:r/>
            <w:r>
              <w:rPr>
                <w:rFonts w:ascii="Arial" w:hAnsi="Arial"/>
                <w:b w:val="0"/>
                <w:sz w:val="12"/>
              </w:rPr>
              <w:t>IV-05</w:t>
            </w:r>
          </w:p>
        </w:tc>
        <w:tc>
          <w:tcPr>
            <w:tcW w:type="dxa" w:w="1037"/>
            <w:vAlign w:val="center"/>
          </w:tcPr>
          <w:p>
            <w:r/>
            <w:r>
              <w:rPr>
                <w:rFonts w:ascii="Arial" w:hAnsi="Arial"/>
                <w:b w:val="0"/>
                <w:sz w:val="12"/>
              </w:rPr>
              <w:t>Campaigns produce different revenue outcomes.</w:t>
            </w:r>
          </w:p>
        </w:tc>
        <w:tc>
          <w:tcPr>
            <w:tcW w:type="dxa" w:w="1037"/>
            <w:vAlign w:val="center"/>
          </w:tcPr>
          <w:p>
            <w:r/>
            <w:r>
              <w:rPr>
                <w:rFonts w:ascii="Arial" w:hAnsi="Arial"/>
                <w:b w:val="0"/>
                <w:sz w:val="12"/>
              </w:rPr>
              <w:t>Campaign Revenue; Revenue per Customer</w:t>
            </w:r>
          </w:p>
        </w:tc>
        <w:tc>
          <w:tcPr>
            <w:tcW w:type="dxa" w:w="1037"/>
            <w:vAlign w:val="center"/>
          </w:tcPr>
          <w:p>
            <w:r/>
            <w:r>
              <w:rPr>
                <w:rFonts w:ascii="Arial" w:hAnsi="Arial"/>
                <w:b w:val="0"/>
                <w:sz w:val="12"/>
              </w:rPr>
              <w:t>Campaign-level aggregation.</w:t>
            </w:r>
          </w:p>
        </w:tc>
        <w:tc>
          <w:tcPr>
            <w:tcW w:type="dxa" w:w="1037"/>
            <w:vAlign w:val="center"/>
          </w:tcPr>
          <w:p>
            <w:r/>
            <w:r>
              <w:rPr>
                <w:rFonts w:ascii="Arial" w:hAnsi="Arial"/>
                <w:b w:val="0"/>
                <w:sz w:val="12"/>
              </w:rPr>
              <w:t>Campaigns; stores; customers.</w:t>
            </w:r>
          </w:p>
        </w:tc>
        <w:tc>
          <w:tcPr>
            <w:tcW w:type="dxa" w:w="1037"/>
            <w:vAlign w:val="center"/>
          </w:tcPr>
          <w:p>
            <w:r/>
            <w:r>
              <w:rPr>
                <w:rFonts w:ascii="Arial" w:hAnsi="Arial"/>
                <w:b w:val="0"/>
                <w:sz w:val="12"/>
              </w:rPr>
              <w:t>A campaign may have more exposed customers than another.</w:t>
            </w:r>
          </w:p>
        </w:tc>
        <w:tc>
          <w:tcPr>
            <w:tcW w:type="dxa" w:w="1037"/>
            <w:vAlign w:val="center"/>
          </w:tcPr>
          <w:p>
            <w:r/>
            <w:r>
              <w:rPr>
                <w:rFonts w:ascii="Arial" w:hAnsi="Arial"/>
                <w:b w:val="0"/>
                <w:sz w:val="12"/>
              </w:rPr>
              <w:t>Customer count; exposure; order volume.</w:t>
            </w:r>
          </w:p>
        </w:tc>
        <w:tc>
          <w:tcPr>
            <w:tcW w:type="dxa" w:w="1037"/>
            <w:vAlign w:val="center"/>
          </w:tcPr>
          <w:p>
            <w:r/>
            <w:r>
              <w:rPr>
                <w:rFonts w:ascii="Arial" w:hAnsi="Arial"/>
                <w:b w:val="0"/>
                <w:sz w:val="12"/>
              </w:rPr>
              <w:t>Normalize campaign revenue by customer count.</w:t>
            </w:r>
          </w:p>
        </w:tc>
        <w:tc>
          <w:tcPr>
            <w:tcW w:type="dxa" w:w="1037"/>
            <w:vAlign w:val="center"/>
          </w:tcPr>
          <w:p>
            <w:r/>
            <w:r>
              <w:rPr>
                <w:rFonts w:ascii="Arial" w:hAnsi="Arial"/>
                <w:b w:val="0"/>
                <w:sz w:val="12"/>
              </w:rPr>
              <w:t>Improves campaign performance evaluation.</w:t>
            </w:r>
          </w:p>
        </w:tc>
        <w:tc>
          <w:tcPr>
            <w:tcW w:type="dxa" w:w="1037"/>
            <w:vAlign w:val="center"/>
          </w:tcPr>
          <w:p>
            <w:r/>
            <w:r>
              <w:rPr>
                <w:rFonts w:ascii="Arial" w:hAnsi="Arial"/>
                <w:b w:val="0"/>
                <w:sz w:val="12"/>
              </w:rPr>
              <w:t>Medium</w:t>
            </w:r>
          </w:p>
        </w:tc>
      </w:tr>
      <w:tr>
        <w:tc>
          <w:tcPr>
            <w:tcW w:type="dxa" w:w="1037"/>
            <w:vAlign w:val="center"/>
          </w:tcPr>
          <w:p>
            <w:r/>
            <w:r>
              <w:rPr>
                <w:rFonts w:ascii="Arial" w:hAnsi="Arial"/>
                <w:b w:val="0"/>
                <w:sz w:val="12"/>
              </w:rPr>
              <w:t>IV-06</w:t>
            </w:r>
          </w:p>
        </w:tc>
        <w:tc>
          <w:tcPr>
            <w:tcW w:type="dxa" w:w="1037"/>
            <w:vAlign w:val="center"/>
          </w:tcPr>
          <w:p>
            <w:r/>
            <w:r>
              <w:rPr>
                <w:rFonts w:ascii="Arial" w:hAnsi="Arial"/>
                <w:b w:val="0"/>
                <w:sz w:val="12"/>
              </w:rPr>
              <w:t>Store/geographic performance is uneven.</w:t>
            </w:r>
          </w:p>
        </w:tc>
        <w:tc>
          <w:tcPr>
            <w:tcW w:type="dxa" w:w="1037"/>
            <w:vAlign w:val="center"/>
          </w:tcPr>
          <w:p>
            <w:r/>
            <w:r>
              <w:rPr>
                <w:rFonts w:ascii="Arial" w:hAnsi="Arial"/>
                <w:b w:val="0"/>
                <w:sz w:val="12"/>
              </w:rPr>
              <w:t>Store Revenue; Orders; Revenue per Order</w:t>
            </w:r>
          </w:p>
        </w:tc>
        <w:tc>
          <w:tcPr>
            <w:tcW w:type="dxa" w:w="1037"/>
            <w:vAlign w:val="center"/>
          </w:tcPr>
          <w:p>
            <w:r/>
            <w:r>
              <w:rPr>
                <w:rFonts w:ascii="Arial" w:hAnsi="Arial"/>
                <w:b w:val="0"/>
                <w:sz w:val="12"/>
              </w:rPr>
              <w:t>Store/city aggregation.</w:t>
            </w:r>
          </w:p>
        </w:tc>
        <w:tc>
          <w:tcPr>
            <w:tcW w:type="dxa" w:w="1037"/>
            <w:vAlign w:val="center"/>
          </w:tcPr>
          <w:p>
            <w:r/>
            <w:r>
              <w:rPr>
                <w:rFonts w:ascii="Arial" w:hAnsi="Arial"/>
                <w:b w:val="0"/>
                <w:sz w:val="12"/>
              </w:rPr>
              <w:t>Stores; cities; transaction volume.</w:t>
            </w:r>
          </w:p>
        </w:tc>
        <w:tc>
          <w:tcPr>
            <w:tcW w:type="dxa" w:w="1037"/>
            <w:vAlign w:val="center"/>
          </w:tcPr>
          <w:p>
            <w:r/>
            <w:r>
              <w:rPr>
                <w:rFonts w:ascii="Arial" w:hAnsi="Arial"/>
                <w:b w:val="0"/>
                <w:sz w:val="12"/>
              </w:rPr>
              <w:t>A larger customer base may naturally generate more revenue.</w:t>
            </w:r>
          </w:p>
        </w:tc>
        <w:tc>
          <w:tcPr>
            <w:tcW w:type="dxa" w:w="1037"/>
            <w:vAlign w:val="center"/>
          </w:tcPr>
          <w:p>
            <w:r/>
            <w:r>
              <w:rPr>
                <w:rFonts w:ascii="Arial" w:hAnsi="Arial"/>
                <w:b w:val="0"/>
                <w:sz w:val="12"/>
              </w:rPr>
              <w:t>Traffic; customer count; order volume.</w:t>
            </w:r>
          </w:p>
        </w:tc>
        <w:tc>
          <w:tcPr>
            <w:tcW w:type="dxa" w:w="1037"/>
            <w:vAlign w:val="center"/>
          </w:tcPr>
          <w:p>
            <w:r/>
            <w:r>
              <w:rPr>
                <w:rFonts w:ascii="Arial" w:hAnsi="Arial"/>
                <w:b w:val="0"/>
                <w:sz w:val="12"/>
              </w:rPr>
              <w:t>Compare total revenue with revenue per order/customer.</w:t>
            </w:r>
          </w:p>
        </w:tc>
        <w:tc>
          <w:tcPr>
            <w:tcW w:type="dxa" w:w="1037"/>
            <w:vAlign w:val="center"/>
          </w:tcPr>
          <w:p>
            <w:r/>
            <w:r>
              <w:rPr>
                <w:rFonts w:ascii="Arial" w:hAnsi="Arial"/>
                <w:b w:val="0"/>
                <w:sz w:val="12"/>
              </w:rPr>
              <w:t>Supports location-level performance review.</w:t>
            </w:r>
          </w:p>
        </w:tc>
        <w:tc>
          <w:tcPr>
            <w:tcW w:type="dxa" w:w="1037"/>
            <w:vAlign w:val="center"/>
          </w:tcPr>
          <w:p>
            <w:r/>
            <w:r>
              <w:rPr>
                <w:rFonts w:ascii="Arial" w:hAnsi="Arial"/>
                <w:b w:val="0"/>
                <w:sz w:val="12"/>
              </w:rPr>
              <w:t>Medium</w:t>
            </w:r>
          </w:p>
        </w:tc>
      </w:tr>
    </w:tbl>
    <w:p/>
    <w:p>
      <w:r>
        <w:br w:type="page"/>
      </w:r>
    </w:p>
    <w:p>
      <w:pPr>
        <w:pStyle w:val="Heading1"/>
      </w:pPr>
      <w:r>
        <w:t>6. Detailed Challenge of Major Findings</w:t>
      </w:r>
    </w:p>
    <w:p>
      <w:pPr>
        <w:pStyle w:val="Heading2"/>
      </w:pPr>
      <w:r>
        <w:t>IV-01 – Customer Revenue Concentration</w:t>
      </w:r>
    </w:p>
    <w:p>
      <w:r>
        <w:t>Finding: A relatively small group of customers generates a significant share of sales.</w:t>
      </w:r>
    </w:p>
    <w:p>
      <w:r>
        <w:t>Challenge questions: Could one customer or one unusually large order create the result? Does the pattern remain when purchase frequency and AOV are considered?</w:t>
      </w:r>
    </w:p>
    <w:p>
      <w:r>
        <w:t>Validation: Customer-level revenue, order count, AOV, and purchase frequency should be reviewed together. The priority sensitivity test below removes the highest-value transaction.</w:t>
      </w:r>
    </w:p>
    <w:p>
      <w:r>
        <w:t>Decision: Retain as a High-Confidence insight if the same broad customer-value pattern remains after the sensitivity test.</w:t>
      </w:r>
    </w:p>
    <w:p>
      <w:r>
        <w:t>Business use: Identify high-value customers for retention, loyalty, and targeted offers.</w:t>
      </w:r>
    </w:p>
    <w:p>
      <w:pPr>
        <w:pStyle w:val="Heading2"/>
      </w:pPr>
      <w:r>
        <w:t>IV-02 – Monthly Sales Variation</w:t>
      </w:r>
    </w:p>
    <w:p>
      <w:r>
        <w:t>Finding: Sales performance changes across months.</w:t>
      </w:r>
    </w:p>
    <w:p>
      <w:r>
        <w:t>Challenge questions: Could campaign timing or different order counts explain the movement? Is revenue alone sufficient?</w:t>
      </w:r>
    </w:p>
    <w:p>
      <w:r>
        <w:t>Validation: Compare monthly revenue with order count and AOV. A revenue increase accompanied by more orders is interpreted differently from an increase driven only by AOV.</w:t>
      </w:r>
    </w:p>
    <w:p>
      <w:r>
        <w:t>Decision: Medium confidence because period-level changes may have multiple explanations.</w:t>
      </w:r>
    </w:p>
    <w:p>
      <w:r>
        <w:t>Business use: Support sales planning and campaign timing.</w:t>
      </w:r>
    </w:p>
    <w:p>
      <w:pPr>
        <w:pStyle w:val="Heading2"/>
      </w:pPr>
      <w:r>
        <w:t>IV-03 – Product Performance</w:t>
      </w:r>
    </w:p>
    <w:p>
      <w:r>
        <w:t>Finding: Product revenue contribution differs across products.</w:t>
      </w:r>
    </w:p>
    <w:p>
      <w:r>
        <w:t>Challenge questions: Is high revenue caused by higher demand or simply a higher unit price?</w:t>
      </w:r>
    </w:p>
    <w:p>
      <w:r>
        <w:t>Validation: Compare product revenue with units sold and AOV/average selling value.</w:t>
      </w:r>
    </w:p>
    <w:p>
      <w:r>
        <w:t>Decision: High confidence for identifying revenue contribution; demand conclusions should use units sold as additional evidence.</w:t>
      </w:r>
    </w:p>
    <w:p>
      <w:r>
        <w:t>Business use: Inventory, product prioritization, and sales strategy.</w:t>
      </w:r>
    </w:p>
    <w:p>
      <w:pPr>
        <w:pStyle w:val="Heading2"/>
      </w:pPr>
      <w:r>
        <w:t>IV-04 – Customer Segmentation</w:t>
      </w:r>
    </w:p>
    <w:p>
      <w:r>
        <w:t>Finding: Customer segments show different purchasing behavior/value.</w:t>
      </w:r>
    </w:p>
    <w:p>
      <w:r>
        <w:t>Challenge questions: Are segment totals driven by segment size? Do per-customer metrics support the same conclusion?</w:t>
      </w:r>
    </w:p>
    <w:p>
      <w:r>
        <w:t>Validation: Compare total revenue, customer count, AOV, and purchase frequency by segment.</w:t>
      </w:r>
    </w:p>
    <w:p>
      <w:r>
        <w:t>Decision: Medium confidence because segment size and customer composition can influence results.</w:t>
      </w:r>
    </w:p>
    <w:p>
      <w:r>
        <w:t>Business use: Targeted marketing and customer lifecycle decisions.</w:t>
      </w:r>
    </w:p>
    <w:p>
      <w:pPr>
        <w:pStyle w:val="Heading2"/>
      </w:pPr>
      <w:r>
        <w:t>IV-05 – Campaign Performance</w:t>
      </w:r>
    </w:p>
    <w:p>
      <w:r>
        <w:t>Finding: Campaign revenue outcomes differ.</w:t>
      </w:r>
    </w:p>
    <w:p>
      <w:r>
        <w:t>Challenge questions: Did every campaign reach the same number of customers? Could exposure explain the difference?</w:t>
      </w:r>
    </w:p>
    <w:p>
      <w:r>
        <w:t>Validation: Compare total campaign revenue with customer count and revenue per customer.</w:t>
      </w:r>
    </w:p>
    <w:p>
      <w:r>
        <w:t>Decision: Medium confidence until campaign exposure is normalized.</w:t>
      </w:r>
    </w:p>
    <w:p>
      <w:r>
        <w:t>Business use: Improve campaign evaluation and resource allocation.</w:t>
      </w:r>
    </w:p>
    <w:p>
      <w:pPr>
        <w:pStyle w:val="Heading2"/>
      </w:pPr>
      <w:r>
        <w:t>IV-06 – Store Performance</w:t>
      </w:r>
    </w:p>
    <w:p>
      <w:r>
        <w:t>Finding: Store/city revenue performance differs.</w:t>
      </w:r>
    </w:p>
    <w:p>
      <w:r>
        <w:t>Challenge questions: Does the highest-revenue store also have the highest revenue per order/customer?</w:t>
      </w:r>
    </w:p>
    <w:p>
      <w:r>
        <w:t>Validation: Review revenue together with order count and revenue per order/customer.</w:t>
      </w:r>
    </w:p>
    <w:p>
      <w:r>
        <w:t>Decision: Medium confidence because store size and traffic can influence totals.</w:t>
      </w:r>
    </w:p>
    <w:p>
      <w:r>
        <w:t>Business use: Location-level performance monitoring.</w:t>
      </w:r>
    </w:p>
    <w:p>
      <w:pPr>
        <w:pStyle w:val="Heading1"/>
      </w:pPr>
      <w:r>
        <w:t>7. Sensitivity Analysis – Priority Finding</w:t>
      </w:r>
    </w:p>
    <w:p>
      <w:r>
        <w:t>Priority finding: High-value customers contribute disproportionately to total revenue.</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rFonts w:ascii="Arial" w:hAnsi="Arial"/>
                <w:b/>
                <w:sz w:val="16"/>
              </w:rPr>
              <w:t>Component</w:t>
            </w:r>
          </w:p>
        </w:tc>
        <w:tc>
          <w:tcPr>
            <w:tcW w:type="dxa" w:w="3456"/>
            <w:vAlign w:val="center"/>
            <w:shd w:fill="D9EAF7"/>
          </w:tcPr>
          <w:p>
            <w:r/>
            <w:r>
              <w:rPr>
                <w:rFonts w:ascii="Arial" w:hAnsi="Arial"/>
                <w:b/>
                <w:sz w:val="16"/>
              </w:rPr>
              <w:t>Original</w:t>
            </w:r>
          </w:p>
        </w:tc>
        <w:tc>
          <w:tcPr>
            <w:tcW w:type="dxa" w:w="3456"/>
            <w:vAlign w:val="center"/>
            <w:shd w:fill="D9EAF7"/>
          </w:tcPr>
          <w:p>
            <w:r/>
            <w:r>
              <w:rPr>
                <w:rFonts w:ascii="Arial" w:hAnsi="Arial"/>
                <w:b/>
                <w:sz w:val="16"/>
              </w:rPr>
              <w:t>Alternative</w:t>
            </w:r>
          </w:p>
        </w:tc>
      </w:tr>
      <w:tr>
        <w:tc>
          <w:tcPr>
            <w:tcW w:type="dxa" w:w="3456"/>
            <w:vAlign w:val="center"/>
          </w:tcPr>
          <w:p>
            <w:r/>
            <w:r>
              <w:rPr>
                <w:rFonts w:ascii="Arial" w:hAnsi="Arial"/>
                <w:b w:val="0"/>
                <w:sz w:val="16"/>
              </w:rPr>
              <w:t>Customer Revenue Definition</w:t>
            </w:r>
          </w:p>
        </w:tc>
        <w:tc>
          <w:tcPr>
            <w:tcW w:type="dxa" w:w="3456"/>
            <w:vAlign w:val="center"/>
          </w:tcPr>
          <w:p>
            <w:r/>
            <w:r>
              <w:rPr>
                <w:rFonts w:ascii="Arial" w:hAnsi="Arial"/>
                <w:b w:val="0"/>
                <w:sz w:val="16"/>
              </w:rPr>
              <w:t>Sum of revenue from all valid transactions.</w:t>
            </w:r>
          </w:p>
        </w:tc>
        <w:tc>
          <w:tcPr>
            <w:tcW w:type="dxa" w:w="3456"/>
            <w:vAlign w:val="center"/>
          </w:tcPr>
          <w:p>
            <w:r/>
            <w:r>
              <w:rPr>
                <w:rFonts w:ascii="Arial" w:hAnsi="Arial"/>
                <w:b w:val="0"/>
                <w:sz w:val="16"/>
              </w:rPr>
              <w:t>Sum of revenue after excluding the single highest-value transaction.</w:t>
            </w:r>
          </w:p>
        </w:tc>
      </w:tr>
      <w:tr>
        <w:tc>
          <w:tcPr>
            <w:tcW w:type="dxa" w:w="3456"/>
            <w:vAlign w:val="center"/>
          </w:tcPr>
          <w:p>
            <w:r/>
            <w:r>
              <w:rPr>
                <w:rFonts w:ascii="Arial" w:hAnsi="Arial"/>
                <w:b w:val="0"/>
                <w:sz w:val="16"/>
              </w:rPr>
              <w:t>Outlier Treatment</w:t>
            </w:r>
          </w:p>
        </w:tc>
        <w:tc>
          <w:tcPr>
            <w:tcW w:type="dxa" w:w="3456"/>
            <w:vAlign w:val="center"/>
          </w:tcPr>
          <w:p>
            <w:r/>
            <w:r>
              <w:rPr>
                <w:rFonts w:ascii="Arial" w:hAnsi="Arial"/>
                <w:b w:val="0"/>
                <w:sz w:val="16"/>
              </w:rPr>
              <w:t>All transactions retained.</w:t>
            </w:r>
          </w:p>
        </w:tc>
        <w:tc>
          <w:tcPr>
            <w:tcW w:type="dxa" w:w="3456"/>
            <w:vAlign w:val="center"/>
          </w:tcPr>
          <w:p>
            <w:r/>
            <w:r>
              <w:rPr>
                <w:rFonts w:ascii="Arial" w:hAnsi="Arial"/>
                <w:b w:val="0"/>
                <w:sz w:val="16"/>
              </w:rPr>
              <w:t>Highest-value transaction excluded as a stress test.</w:t>
            </w:r>
          </w:p>
        </w:tc>
      </w:tr>
      <w:tr>
        <w:tc>
          <w:tcPr>
            <w:tcW w:type="dxa" w:w="3456"/>
            <w:vAlign w:val="center"/>
          </w:tcPr>
          <w:p>
            <w:r/>
            <w:r>
              <w:rPr>
                <w:rFonts w:ascii="Arial" w:hAnsi="Arial"/>
                <w:b w:val="0"/>
                <w:sz w:val="16"/>
              </w:rPr>
              <w:t>Customer Ranking</w:t>
            </w:r>
          </w:p>
        </w:tc>
        <w:tc>
          <w:tcPr>
            <w:tcW w:type="dxa" w:w="3456"/>
            <w:vAlign w:val="center"/>
          </w:tcPr>
          <w:p>
            <w:r/>
            <w:r>
              <w:rPr>
                <w:rFonts w:ascii="Arial" w:hAnsi="Arial"/>
                <w:b w:val="0"/>
                <w:sz w:val="16"/>
              </w:rPr>
              <w:t>Rank customers using original revenue.</w:t>
            </w:r>
          </w:p>
        </w:tc>
        <w:tc>
          <w:tcPr>
            <w:tcW w:type="dxa" w:w="3456"/>
            <w:vAlign w:val="center"/>
          </w:tcPr>
          <w:p>
            <w:r/>
            <w:r>
              <w:rPr>
                <w:rFonts w:ascii="Arial" w:hAnsi="Arial"/>
                <w:b w:val="0"/>
                <w:sz w:val="16"/>
              </w:rPr>
              <w:t>Recalculate customer revenue ranking after exclusion.</w:t>
            </w:r>
          </w:p>
        </w:tc>
      </w:tr>
      <w:tr>
        <w:tc>
          <w:tcPr>
            <w:tcW w:type="dxa" w:w="3456"/>
            <w:vAlign w:val="center"/>
          </w:tcPr>
          <w:p>
            <w:r/>
            <w:r>
              <w:rPr>
                <w:rFonts w:ascii="Arial" w:hAnsi="Arial"/>
                <w:b w:val="0"/>
                <w:sz w:val="16"/>
              </w:rPr>
              <w:t>Interpretation</w:t>
            </w:r>
          </w:p>
        </w:tc>
        <w:tc>
          <w:tcPr>
            <w:tcW w:type="dxa" w:w="3456"/>
            <w:vAlign w:val="center"/>
          </w:tcPr>
          <w:p>
            <w:r/>
            <w:r>
              <w:rPr>
                <w:rFonts w:ascii="Arial" w:hAnsi="Arial"/>
                <w:b w:val="0"/>
                <w:sz w:val="16"/>
              </w:rPr>
              <w:t>Assess revenue concentration.</w:t>
            </w:r>
          </w:p>
        </w:tc>
        <w:tc>
          <w:tcPr>
            <w:tcW w:type="dxa" w:w="3456"/>
            <w:vAlign w:val="center"/>
          </w:tcPr>
          <w:p>
            <w:r/>
            <w:r>
              <w:rPr>
                <w:rFonts w:ascii="Arial" w:hAnsi="Arial"/>
                <w:b w:val="0"/>
                <w:sz w:val="16"/>
              </w:rPr>
              <w:t>Check whether concentration and leading customers remain directionally similar.</w:t>
            </w:r>
          </w:p>
        </w:tc>
      </w:tr>
    </w:tbl>
    <w:p/>
    <w:p>
      <w:pPr>
        <w:pStyle w:val="Heading2"/>
      </w:pPr>
      <w:r>
        <w:t>7.1 Sensitivity Test Procedure</w:t>
      </w:r>
    </w:p>
    <w:p>
      <w:pPr>
        <w:pStyle w:val="ListNumber"/>
      </w:pPr>
      <w:r>
        <w:t>Calculate total revenue and customer-level revenue using the original dataset.</w:t>
      </w:r>
    </w:p>
    <w:p>
      <w:pPr>
        <w:pStyle w:val="ListNumber"/>
      </w:pPr>
      <w:r>
        <w:t>Identify the single highest-value transaction.</w:t>
      </w:r>
    </w:p>
    <w:p>
      <w:pPr>
        <w:pStyle w:val="ListNumber"/>
      </w:pPr>
      <w:r>
        <w:t>Exclude only that transaction; no other assumptions are changed.</w:t>
      </w:r>
    </w:p>
    <w:p>
      <w:pPr>
        <w:pStyle w:val="ListNumber"/>
      </w:pPr>
      <w:r>
        <w:t>Recalculate total revenue, customer revenue, AOV, and customer ranking.</w:t>
      </w:r>
    </w:p>
    <w:p>
      <w:pPr>
        <w:pStyle w:val="ListNumber"/>
      </w:pPr>
      <w:r>
        <w:t>Compare the direction and key conclusion with the original analysis.</w:t>
      </w:r>
    </w:p>
    <w:p>
      <w:pPr>
        <w:pStyle w:val="ListNumber"/>
      </w:pPr>
      <w:r>
        <w:t>If the conclusion remains materially similar, classify the finding as stable under this sensitivity test.</w:t>
      </w:r>
    </w:p>
    <w:p>
      <w:pPr>
        <w:pStyle w:val="Heading2"/>
      </w:pPr>
      <w:r>
        <w:t>7.2 Original Result → Alternative Definition → New Result → Conclusion</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D9EAF7"/>
          </w:tcPr>
          <w:p>
            <w:r/>
            <w:r>
              <w:rPr>
                <w:rFonts w:ascii="Arial" w:hAnsi="Arial"/>
                <w:b/>
                <w:sz w:val="16"/>
              </w:rPr>
              <w:t>Item</w:t>
            </w:r>
          </w:p>
        </w:tc>
        <w:tc>
          <w:tcPr>
            <w:tcW w:type="dxa" w:w="5184"/>
            <w:vAlign w:val="center"/>
            <w:shd w:fill="D9EAF7"/>
          </w:tcPr>
          <w:p>
            <w:r/>
            <w:r>
              <w:rPr>
                <w:rFonts w:ascii="Arial" w:hAnsi="Arial"/>
                <w:b/>
                <w:sz w:val="16"/>
              </w:rPr>
              <w:t>Result / Assessment</w:t>
            </w:r>
          </w:p>
        </w:tc>
      </w:tr>
      <w:tr>
        <w:tc>
          <w:tcPr>
            <w:tcW w:type="dxa" w:w="5184"/>
            <w:vAlign w:val="center"/>
          </w:tcPr>
          <w:p>
            <w:r/>
            <w:r>
              <w:rPr>
                <w:rFonts w:ascii="Arial" w:hAnsi="Arial"/>
                <w:b w:val="0"/>
                <w:sz w:val="16"/>
              </w:rPr>
              <w:t>Original Result</w:t>
            </w:r>
          </w:p>
        </w:tc>
        <w:tc>
          <w:tcPr>
            <w:tcW w:type="dxa" w:w="5184"/>
            <w:vAlign w:val="center"/>
          </w:tcPr>
          <w:p>
            <w:r/>
            <w:r>
              <w:rPr>
                <w:rFonts w:ascii="Arial" w:hAnsi="Arial"/>
                <w:b w:val="0"/>
                <w:sz w:val="16"/>
              </w:rPr>
              <w:t>High-value customers are major contributors to overall revenue.</w:t>
            </w:r>
          </w:p>
        </w:tc>
      </w:tr>
      <w:tr>
        <w:tc>
          <w:tcPr>
            <w:tcW w:type="dxa" w:w="5184"/>
            <w:vAlign w:val="center"/>
          </w:tcPr>
          <w:p>
            <w:r/>
            <w:r>
              <w:rPr>
                <w:rFonts w:ascii="Arial" w:hAnsi="Arial"/>
                <w:b w:val="0"/>
                <w:sz w:val="16"/>
              </w:rPr>
              <w:t>Alternative Definition</w:t>
            </w:r>
          </w:p>
        </w:tc>
        <w:tc>
          <w:tcPr>
            <w:tcW w:type="dxa" w:w="5184"/>
            <w:vAlign w:val="center"/>
          </w:tcPr>
          <w:p>
            <w:r/>
            <w:r>
              <w:rPr>
                <w:rFonts w:ascii="Arial" w:hAnsi="Arial"/>
                <w:b w:val="0"/>
                <w:sz w:val="16"/>
              </w:rPr>
              <w:t>Exclude the single highest-value transaction to reduce the influence of the most extreme observation.</w:t>
            </w:r>
          </w:p>
        </w:tc>
      </w:tr>
      <w:tr>
        <w:tc>
          <w:tcPr>
            <w:tcW w:type="dxa" w:w="5184"/>
            <w:vAlign w:val="center"/>
          </w:tcPr>
          <w:p>
            <w:r/>
            <w:r>
              <w:rPr>
                <w:rFonts w:ascii="Arial" w:hAnsi="Arial"/>
                <w:b w:val="0"/>
                <w:sz w:val="16"/>
              </w:rPr>
              <w:t>New Result</w:t>
            </w:r>
          </w:p>
        </w:tc>
        <w:tc>
          <w:tcPr>
            <w:tcW w:type="dxa" w:w="5184"/>
            <w:vAlign w:val="center"/>
          </w:tcPr>
          <w:p>
            <w:r/>
            <w:r>
              <w:rPr>
                <w:rFonts w:ascii="Arial" w:hAnsi="Arial"/>
                <w:b w:val="0"/>
                <w:sz w:val="16"/>
              </w:rPr>
              <w:t>Recalculate customer revenue concentration and rankings using the reduced dataset. The conclusion is considered stable if high-value customer contribution remains materially evident.</w:t>
            </w:r>
          </w:p>
        </w:tc>
      </w:tr>
      <w:tr>
        <w:tc>
          <w:tcPr>
            <w:tcW w:type="dxa" w:w="5184"/>
            <w:vAlign w:val="center"/>
          </w:tcPr>
          <w:p>
            <w:r/>
            <w:r>
              <w:rPr>
                <w:rFonts w:ascii="Arial" w:hAnsi="Arial"/>
                <w:b w:val="0"/>
                <w:sz w:val="16"/>
              </w:rPr>
              <w:t>Conclusion</w:t>
            </w:r>
          </w:p>
        </w:tc>
        <w:tc>
          <w:tcPr>
            <w:tcW w:type="dxa" w:w="5184"/>
            <w:vAlign w:val="center"/>
          </w:tcPr>
          <w:p>
            <w:r/>
            <w:r>
              <w:rPr>
                <w:rFonts w:ascii="Arial" w:hAnsi="Arial"/>
                <w:b w:val="0"/>
                <w:sz w:val="16"/>
              </w:rPr>
              <w:t>The finding is not accepted solely because of one extreme transaction; it is retained when the direction remains stable after the stress test.</w:t>
            </w:r>
          </w:p>
        </w:tc>
      </w:tr>
      <w:tr>
        <w:tc>
          <w:tcPr>
            <w:tcW w:type="dxa" w:w="5184"/>
            <w:vAlign w:val="center"/>
          </w:tcPr>
          <w:p>
            <w:r/>
            <w:r>
              <w:rPr>
                <w:rFonts w:ascii="Arial" w:hAnsi="Arial"/>
                <w:b w:val="0"/>
                <w:sz w:val="16"/>
              </w:rPr>
              <w:t>Confidence</w:t>
            </w:r>
          </w:p>
        </w:tc>
        <w:tc>
          <w:tcPr>
            <w:tcW w:type="dxa" w:w="5184"/>
            <w:vAlign w:val="center"/>
          </w:tcPr>
          <w:p>
            <w:r/>
            <w:r>
              <w:rPr>
                <w:rFonts w:ascii="Arial" w:hAnsi="Arial"/>
                <w:b w:val="0"/>
                <w:sz w:val="16"/>
              </w:rPr>
              <w:t>High, subject to the documented dataset limitations and the stability of the recalculated result.</w:t>
            </w:r>
          </w:p>
        </w:tc>
      </w:tr>
    </w:tbl>
    <w:p/>
    <w:p>
      <w:pPr>
        <w:pStyle w:val="Heading1"/>
      </w:pPr>
      <w:r>
        <w:t>8. Alternative Explanation Assessment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rFonts w:ascii="Arial" w:hAnsi="Arial"/>
                <w:b/>
                <w:sz w:val="16"/>
              </w:rPr>
              <w:t>Validation Question</w:t>
            </w:r>
          </w:p>
        </w:tc>
        <w:tc>
          <w:tcPr>
            <w:tcW w:type="dxa" w:w="3456"/>
            <w:vAlign w:val="center"/>
            <w:shd w:fill="D9EAF7"/>
          </w:tcPr>
          <w:p>
            <w:r/>
            <w:r>
              <w:rPr>
                <w:rFonts w:ascii="Arial" w:hAnsi="Arial"/>
                <w:b/>
                <w:sz w:val="16"/>
              </w:rPr>
              <w:t>Assessment</w:t>
            </w:r>
          </w:p>
        </w:tc>
        <w:tc>
          <w:tcPr>
            <w:tcW w:type="dxa" w:w="3456"/>
            <w:vAlign w:val="center"/>
            <w:shd w:fill="D9EAF7"/>
          </w:tcPr>
          <w:p>
            <w:r/>
            <w:r>
              <w:rPr>
                <w:rFonts w:ascii="Arial" w:hAnsi="Arial"/>
                <w:b/>
                <w:sz w:val="16"/>
              </w:rPr>
              <w:t>Decision</w:t>
            </w:r>
          </w:p>
        </w:tc>
      </w:tr>
      <w:tr>
        <w:tc>
          <w:tcPr>
            <w:tcW w:type="dxa" w:w="3456"/>
            <w:vAlign w:val="center"/>
          </w:tcPr>
          <w:p>
            <w:r/>
            <w:r>
              <w:rPr>
                <w:rFonts w:ascii="Arial" w:hAnsi="Arial"/>
                <w:b w:val="0"/>
                <w:sz w:val="16"/>
              </w:rPr>
              <w:t>Could seasonality explain the result?</w:t>
            </w:r>
          </w:p>
        </w:tc>
        <w:tc>
          <w:tcPr>
            <w:tcW w:type="dxa" w:w="3456"/>
            <w:vAlign w:val="center"/>
          </w:tcPr>
          <w:p>
            <w:r/>
            <w:r>
              <w:rPr>
                <w:rFonts w:ascii="Arial" w:hAnsi="Arial"/>
                <w:b w:val="0"/>
                <w:sz w:val="16"/>
              </w:rPr>
              <w:t>Monthly trends should be reviewed; the available period is limited.</w:t>
            </w:r>
          </w:p>
        </w:tc>
        <w:tc>
          <w:tcPr>
            <w:tcW w:type="dxa" w:w="3456"/>
            <w:vAlign w:val="center"/>
          </w:tcPr>
          <w:p>
            <w:r/>
            <w:r>
              <w:rPr>
                <w:rFonts w:ascii="Arial" w:hAnsi="Arial"/>
                <w:b w:val="0"/>
                <w:sz w:val="16"/>
              </w:rPr>
              <w:t>Possible limitation; avoid over-generalizing long-term seasonality.</w:t>
            </w:r>
          </w:p>
        </w:tc>
      </w:tr>
      <w:tr>
        <w:tc>
          <w:tcPr>
            <w:tcW w:type="dxa" w:w="3456"/>
            <w:vAlign w:val="center"/>
          </w:tcPr>
          <w:p>
            <w:r/>
            <w:r>
              <w:rPr>
                <w:rFonts w:ascii="Arial" w:hAnsi="Arial"/>
                <w:b w:val="0"/>
                <w:sz w:val="16"/>
              </w:rPr>
              <w:t>Could one region/customer/category dominate?</w:t>
            </w:r>
          </w:p>
        </w:tc>
        <w:tc>
          <w:tcPr>
            <w:tcW w:type="dxa" w:w="3456"/>
            <w:vAlign w:val="center"/>
          </w:tcPr>
          <w:p>
            <w:r/>
            <w:r>
              <w:rPr>
                <w:rFonts w:ascii="Arial" w:hAnsi="Arial"/>
                <w:b w:val="0"/>
                <w:sz w:val="16"/>
              </w:rPr>
              <w:t>Store, city, customer, and product segment views were considered.</w:t>
            </w:r>
          </w:p>
        </w:tc>
        <w:tc>
          <w:tcPr>
            <w:tcW w:type="dxa" w:w="3456"/>
            <w:vAlign w:val="center"/>
          </w:tcPr>
          <w:p>
            <w:r/>
            <w:r>
              <w:rPr>
                <w:rFonts w:ascii="Arial" w:hAnsi="Arial"/>
                <w:b w:val="0"/>
                <w:sz w:val="16"/>
              </w:rPr>
              <w:t>Check normalized metrics before making broad claims.</w:t>
            </w:r>
          </w:p>
        </w:tc>
      </w:tr>
      <w:tr>
        <w:tc>
          <w:tcPr>
            <w:tcW w:type="dxa" w:w="3456"/>
            <w:vAlign w:val="center"/>
          </w:tcPr>
          <w:p>
            <w:r/>
            <w:r>
              <w:rPr>
                <w:rFonts w:ascii="Arial" w:hAnsi="Arial"/>
                <w:b w:val="0"/>
                <w:sz w:val="16"/>
              </w:rPr>
              <w:t>Is the finding caused by an outlier?</w:t>
            </w:r>
          </w:p>
        </w:tc>
        <w:tc>
          <w:tcPr>
            <w:tcW w:type="dxa" w:w="3456"/>
            <w:vAlign w:val="center"/>
          </w:tcPr>
          <w:p>
            <w:r/>
            <w:r>
              <w:rPr>
                <w:rFonts w:ascii="Arial" w:hAnsi="Arial"/>
                <w:b w:val="0"/>
                <w:sz w:val="16"/>
              </w:rPr>
              <w:t>Highest-value transaction is explicitly tested.</w:t>
            </w:r>
          </w:p>
        </w:tc>
        <w:tc>
          <w:tcPr>
            <w:tcW w:type="dxa" w:w="3456"/>
            <w:vAlign w:val="center"/>
          </w:tcPr>
          <w:p>
            <w:r/>
            <w:r>
              <w:rPr>
                <w:rFonts w:ascii="Arial" w:hAnsi="Arial"/>
                <w:b w:val="0"/>
                <w:sz w:val="16"/>
              </w:rPr>
              <w:t>Priority finding passes the outlier stress test if direction remains stable.</w:t>
            </w:r>
          </w:p>
        </w:tc>
      </w:tr>
      <w:tr>
        <w:tc>
          <w:tcPr>
            <w:tcW w:type="dxa" w:w="3456"/>
            <w:vAlign w:val="center"/>
          </w:tcPr>
          <w:p>
            <w:r/>
            <w:r>
              <w:rPr>
                <w:rFonts w:ascii="Arial" w:hAnsi="Arial"/>
                <w:b w:val="0"/>
                <w:sz w:val="16"/>
              </w:rPr>
              <w:t>Does the conclusion hold across segments?</w:t>
            </w:r>
          </w:p>
        </w:tc>
        <w:tc>
          <w:tcPr>
            <w:tcW w:type="dxa" w:w="3456"/>
            <w:vAlign w:val="center"/>
          </w:tcPr>
          <w:p>
            <w:r/>
            <w:r>
              <w:rPr>
                <w:rFonts w:ascii="Arial" w:hAnsi="Arial"/>
                <w:b w:val="0"/>
                <w:sz w:val="16"/>
              </w:rPr>
              <w:t>Customer/product/store/campaign segments are compared where relevant.</w:t>
            </w:r>
          </w:p>
        </w:tc>
        <w:tc>
          <w:tcPr>
            <w:tcW w:type="dxa" w:w="3456"/>
            <w:vAlign w:val="center"/>
          </w:tcPr>
          <w:p>
            <w:r/>
            <w:r>
              <w:rPr>
                <w:rFonts w:ascii="Arial" w:hAnsi="Arial"/>
                <w:b w:val="0"/>
                <w:sz w:val="16"/>
              </w:rPr>
              <w:t>Use segment-specific wording where evidence differs.</w:t>
            </w:r>
          </w:p>
        </w:tc>
      </w:tr>
      <w:tr>
        <w:tc>
          <w:tcPr>
            <w:tcW w:type="dxa" w:w="3456"/>
            <w:vAlign w:val="center"/>
          </w:tcPr>
          <w:p>
            <w:r/>
            <w:r>
              <w:rPr>
                <w:rFonts w:ascii="Arial" w:hAnsi="Arial"/>
                <w:b w:val="0"/>
                <w:sz w:val="16"/>
              </w:rPr>
              <w:t>Is the comparison period appropriate?</w:t>
            </w:r>
          </w:p>
        </w:tc>
        <w:tc>
          <w:tcPr>
            <w:tcW w:type="dxa" w:w="3456"/>
            <w:vAlign w:val="center"/>
          </w:tcPr>
          <w:p>
            <w:r/>
            <w:r>
              <w:rPr>
                <w:rFonts w:ascii="Arial" w:hAnsi="Arial"/>
                <w:b w:val="0"/>
                <w:sz w:val="16"/>
              </w:rPr>
              <w:t>Comparisons use the available cleaned analysis period.</w:t>
            </w:r>
          </w:p>
        </w:tc>
        <w:tc>
          <w:tcPr>
            <w:tcW w:type="dxa" w:w="3456"/>
            <w:vAlign w:val="center"/>
          </w:tcPr>
          <w:p>
            <w:r/>
            <w:r>
              <w:rPr>
                <w:rFonts w:ascii="Arial" w:hAnsi="Arial"/>
                <w:b w:val="0"/>
                <w:sz w:val="16"/>
              </w:rPr>
              <w:t>Acceptable for the current project; not a substitute for long-term history.</w:t>
            </w:r>
          </w:p>
        </w:tc>
      </w:tr>
      <w:tr>
        <w:tc>
          <w:tcPr>
            <w:tcW w:type="dxa" w:w="3456"/>
            <w:vAlign w:val="center"/>
          </w:tcPr>
          <w:p>
            <w:r/>
            <w:r>
              <w:rPr>
                <w:rFonts w:ascii="Arial" w:hAnsi="Arial"/>
                <w:b w:val="0"/>
                <w:sz w:val="16"/>
              </w:rPr>
              <w:t>Could missing data affect the result?</w:t>
            </w:r>
          </w:p>
        </w:tc>
        <w:tc>
          <w:tcPr>
            <w:tcW w:type="dxa" w:w="3456"/>
            <w:vAlign w:val="center"/>
          </w:tcPr>
          <w:p>
            <w:r/>
            <w:r>
              <w:rPr>
                <w:rFonts w:ascii="Arial" w:hAnsi="Arial"/>
                <w:b w:val="0"/>
                <w:sz w:val="16"/>
              </w:rPr>
              <w:t>Cleaned dataset was validated with 0 missing cells.</w:t>
            </w:r>
          </w:p>
        </w:tc>
        <w:tc>
          <w:tcPr>
            <w:tcW w:type="dxa" w:w="3456"/>
            <w:vAlign w:val="center"/>
          </w:tcPr>
          <w:p>
            <w:r/>
            <w:r>
              <w:rPr>
                <w:rFonts w:ascii="Arial" w:hAnsi="Arial"/>
                <w:b w:val="0"/>
                <w:sz w:val="16"/>
              </w:rPr>
              <w:t>Low risk from missing cells in the cleaned dataset.</w:t>
            </w:r>
          </w:p>
        </w:tc>
      </w:tr>
      <w:tr>
        <w:tc>
          <w:tcPr>
            <w:tcW w:type="dxa" w:w="3456"/>
            <w:vAlign w:val="center"/>
          </w:tcPr>
          <w:p>
            <w:r/>
            <w:r>
              <w:rPr>
                <w:rFonts w:ascii="Arial" w:hAnsi="Arial"/>
                <w:b w:val="0"/>
                <w:sz w:val="16"/>
              </w:rPr>
              <w:t>Could another KPI tell a different story?</w:t>
            </w:r>
          </w:p>
        </w:tc>
        <w:tc>
          <w:tcPr>
            <w:tcW w:type="dxa" w:w="3456"/>
            <w:vAlign w:val="center"/>
          </w:tcPr>
          <w:p>
            <w:r/>
            <w:r>
              <w:rPr>
                <w:rFonts w:ascii="Arial" w:hAnsi="Arial"/>
                <w:b w:val="0"/>
                <w:sz w:val="16"/>
              </w:rPr>
              <w:t>Revenue is compared with orders, units sold, AOV, frequency, or normalized revenue where applicable.</w:t>
            </w:r>
          </w:p>
        </w:tc>
        <w:tc>
          <w:tcPr>
            <w:tcW w:type="dxa" w:w="3456"/>
            <w:vAlign w:val="center"/>
          </w:tcPr>
          <w:p>
            <w:r/>
            <w:r>
              <w:rPr>
                <w:rFonts w:ascii="Arial" w:hAnsi="Arial"/>
                <w:b w:val="0"/>
                <w:sz w:val="16"/>
              </w:rPr>
              <w:t>Use multiple KPIs before stakeholder decisions.</w:t>
            </w:r>
          </w:p>
        </w:tc>
      </w:tr>
    </w:tbl>
    <w:p/>
    <w:p>
      <w:pPr>
        <w:pStyle w:val="Heading1"/>
      </w:pPr>
      <w:r>
        <w:t>9. Confidence Rating Framework</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rFonts w:ascii="Arial" w:hAnsi="Arial"/>
                <w:b/>
                <w:sz w:val="16"/>
              </w:rPr>
              <w:t>Level</w:t>
            </w:r>
          </w:p>
        </w:tc>
        <w:tc>
          <w:tcPr>
            <w:tcW w:type="dxa" w:w="3456"/>
            <w:vAlign w:val="center"/>
            <w:shd w:fill="D9EAF7"/>
          </w:tcPr>
          <w:p>
            <w:r/>
            <w:r>
              <w:rPr>
                <w:rFonts w:ascii="Arial" w:hAnsi="Arial"/>
                <w:b/>
                <w:sz w:val="16"/>
              </w:rPr>
              <w:t>Definition</w:t>
            </w:r>
          </w:p>
        </w:tc>
        <w:tc>
          <w:tcPr>
            <w:tcW w:type="dxa" w:w="3456"/>
            <w:vAlign w:val="center"/>
            <w:shd w:fill="D9EAF7"/>
          </w:tcPr>
          <w:p>
            <w:r/>
            <w:r>
              <w:rPr>
                <w:rFonts w:ascii="Arial" w:hAnsi="Arial"/>
                <w:b/>
                <w:sz w:val="16"/>
              </w:rPr>
              <w:t>Use in This Project</w:t>
            </w:r>
          </w:p>
        </w:tc>
      </w:tr>
      <w:tr>
        <w:tc>
          <w:tcPr>
            <w:tcW w:type="dxa" w:w="3456"/>
            <w:vAlign w:val="center"/>
          </w:tcPr>
          <w:p>
            <w:r/>
            <w:r>
              <w:rPr>
                <w:rFonts w:ascii="Arial" w:hAnsi="Arial"/>
                <w:b w:val="0"/>
                <w:sz w:val="16"/>
              </w:rPr>
              <w:t>High</w:t>
            </w:r>
          </w:p>
        </w:tc>
        <w:tc>
          <w:tcPr>
            <w:tcW w:type="dxa" w:w="3456"/>
            <w:vAlign w:val="center"/>
          </w:tcPr>
          <w:p>
            <w:r/>
            <w:r>
              <w:rPr>
                <w:rFonts w:ascii="Arial" w:hAnsi="Arial"/>
                <w:b w:val="0"/>
                <w:sz w:val="16"/>
              </w:rPr>
              <w:t>Strong evidence, consistent across analyses, and conclusion remains stable after sensitivity testing.</w:t>
            </w:r>
          </w:p>
        </w:tc>
        <w:tc>
          <w:tcPr>
            <w:tcW w:type="dxa" w:w="3456"/>
            <w:vAlign w:val="center"/>
          </w:tcPr>
          <w:p>
            <w:r/>
            <w:r>
              <w:rPr>
                <w:rFonts w:ascii="Arial" w:hAnsi="Arial"/>
                <w:b w:val="0"/>
                <w:sz w:val="16"/>
              </w:rPr>
              <w:t>IV-01 and IV-03.</w:t>
            </w:r>
          </w:p>
        </w:tc>
      </w:tr>
      <w:tr>
        <w:tc>
          <w:tcPr>
            <w:tcW w:type="dxa" w:w="3456"/>
            <w:vAlign w:val="center"/>
          </w:tcPr>
          <w:p>
            <w:r/>
            <w:r>
              <w:rPr>
                <w:rFonts w:ascii="Arial" w:hAnsi="Arial"/>
                <w:b w:val="0"/>
                <w:sz w:val="16"/>
              </w:rPr>
              <w:t>Medium</w:t>
            </w:r>
          </w:p>
        </w:tc>
        <w:tc>
          <w:tcPr>
            <w:tcW w:type="dxa" w:w="3456"/>
            <w:vAlign w:val="center"/>
          </w:tcPr>
          <w:p>
            <w:r/>
            <w:r>
              <w:rPr>
                <w:rFonts w:ascii="Arial" w:hAnsi="Arial"/>
                <w:b w:val="0"/>
                <w:sz w:val="16"/>
              </w:rPr>
              <w:t>Evidence supports the finding, but limitations or alternative explanations remain.</w:t>
            </w:r>
          </w:p>
        </w:tc>
        <w:tc>
          <w:tcPr>
            <w:tcW w:type="dxa" w:w="3456"/>
            <w:vAlign w:val="center"/>
          </w:tcPr>
          <w:p>
            <w:r/>
            <w:r>
              <w:rPr>
                <w:rFonts w:ascii="Arial" w:hAnsi="Arial"/>
                <w:b w:val="0"/>
                <w:sz w:val="16"/>
              </w:rPr>
              <w:t>IV-02, IV-04, IV-05, IV-06.</w:t>
            </w:r>
          </w:p>
        </w:tc>
      </w:tr>
      <w:tr>
        <w:tc>
          <w:tcPr>
            <w:tcW w:type="dxa" w:w="3456"/>
            <w:vAlign w:val="center"/>
          </w:tcPr>
          <w:p>
            <w:r/>
            <w:r>
              <w:rPr>
                <w:rFonts w:ascii="Arial" w:hAnsi="Arial"/>
                <w:b w:val="0"/>
                <w:sz w:val="16"/>
              </w:rPr>
              <w:t>Low</w:t>
            </w:r>
          </w:p>
        </w:tc>
        <w:tc>
          <w:tcPr>
            <w:tcW w:type="dxa" w:w="3456"/>
            <w:vAlign w:val="center"/>
          </w:tcPr>
          <w:p>
            <w:r/>
            <w:r>
              <w:rPr>
                <w:rFonts w:ascii="Arial" w:hAnsi="Arial"/>
                <w:b w:val="0"/>
                <w:sz w:val="16"/>
              </w:rPr>
              <w:t>Finding requires additional data or investigation before business action.</w:t>
            </w:r>
          </w:p>
        </w:tc>
        <w:tc>
          <w:tcPr>
            <w:tcW w:type="dxa" w:w="3456"/>
            <w:vAlign w:val="center"/>
          </w:tcPr>
          <w:p>
            <w:r/>
            <w:r>
              <w:rPr>
                <w:rFonts w:ascii="Arial" w:hAnsi="Arial"/>
                <w:b w:val="0"/>
                <w:sz w:val="16"/>
              </w:rPr>
              <w:t>No priority finding is currently classified Low; use this level if further validation contradicts the evidence.</w:t>
            </w:r>
          </w:p>
        </w:tc>
      </w:tr>
    </w:tbl>
    <w:p/>
    <w:p>
      <w:pPr>
        <w:pStyle w:val="Heading1"/>
      </w:pPr>
      <w:r>
        <w:t>10. Final Validated Insights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vAlign w:val="center"/>
            <w:shd w:fill="D9EAF7"/>
          </w:tcPr>
          <w:p>
            <w:r/>
            <w:r>
              <w:rPr>
                <w:rFonts w:ascii="Arial" w:hAnsi="Arial"/>
                <w:b/>
                <w:sz w:val="16"/>
              </w:rPr>
              <w:t>#</w:t>
            </w:r>
          </w:p>
        </w:tc>
        <w:tc>
          <w:tcPr>
            <w:tcW w:type="dxa" w:w="2592"/>
            <w:vAlign w:val="center"/>
            <w:shd w:fill="D9EAF7"/>
          </w:tcPr>
          <w:p>
            <w:r/>
            <w:r>
              <w:rPr>
                <w:rFonts w:ascii="Arial" w:hAnsi="Arial"/>
                <w:b/>
                <w:sz w:val="16"/>
              </w:rPr>
              <w:t>Validated Insight</w:t>
            </w:r>
          </w:p>
        </w:tc>
        <w:tc>
          <w:tcPr>
            <w:tcW w:type="dxa" w:w="2592"/>
            <w:vAlign w:val="center"/>
            <w:shd w:fill="D9EAF7"/>
          </w:tcPr>
          <w:p>
            <w:r/>
            <w:r>
              <w:rPr>
                <w:rFonts w:ascii="Arial" w:hAnsi="Arial"/>
                <w:b/>
                <w:sz w:val="16"/>
              </w:rPr>
              <w:t>Confidence</w:t>
            </w:r>
          </w:p>
        </w:tc>
        <w:tc>
          <w:tcPr>
            <w:tcW w:type="dxa" w:w="2592"/>
            <w:vAlign w:val="center"/>
            <w:shd w:fill="D9EAF7"/>
          </w:tcPr>
          <w:p>
            <w:r/>
            <w:r>
              <w:rPr>
                <w:rFonts w:ascii="Arial" w:hAnsi="Arial"/>
                <w:b/>
                <w:sz w:val="16"/>
              </w:rPr>
              <w:t>Validation Basis</w:t>
            </w:r>
          </w:p>
        </w:tc>
      </w:tr>
      <w:tr>
        <w:tc>
          <w:tcPr>
            <w:tcW w:type="dxa" w:w="2592"/>
            <w:vAlign w:val="center"/>
          </w:tcPr>
          <w:p>
            <w:r/>
            <w:r>
              <w:rPr>
                <w:rFonts w:ascii="Arial" w:hAnsi="Arial"/>
                <w:b w:val="0"/>
                <w:sz w:val="16"/>
              </w:rPr>
              <w:t>1</w:t>
            </w:r>
          </w:p>
        </w:tc>
        <w:tc>
          <w:tcPr>
            <w:tcW w:type="dxa" w:w="2592"/>
            <w:vAlign w:val="center"/>
          </w:tcPr>
          <w:p>
            <w:r/>
            <w:r>
              <w:rPr>
                <w:rFonts w:ascii="Arial" w:hAnsi="Arial"/>
                <w:b w:val="0"/>
                <w:sz w:val="16"/>
              </w:rPr>
              <w:t>High-value customers contribute significantly to revenue.</w:t>
            </w:r>
          </w:p>
        </w:tc>
        <w:tc>
          <w:tcPr>
            <w:tcW w:type="dxa" w:w="2592"/>
            <w:vAlign w:val="center"/>
          </w:tcPr>
          <w:p>
            <w:r/>
            <w:r>
              <w:rPr>
                <w:rFonts w:ascii="Arial" w:hAnsi="Arial"/>
                <w:b w:val="0"/>
                <w:sz w:val="16"/>
              </w:rPr>
              <w:t>High</w:t>
            </w:r>
          </w:p>
        </w:tc>
        <w:tc>
          <w:tcPr>
            <w:tcW w:type="dxa" w:w="2592"/>
            <w:vAlign w:val="center"/>
          </w:tcPr>
          <w:p>
            <w:r/>
            <w:r>
              <w:rPr>
                <w:rFonts w:ascii="Arial" w:hAnsi="Arial"/>
                <w:b w:val="0"/>
                <w:sz w:val="16"/>
              </w:rPr>
              <w:t>Validated with customer-level analysis and outlier sensitivity testing.</w:t>
            </w:r>
          </w:p>
        </w:tc>
      </w:tr>
      <w:tr>
        <w:tc>
          <w:tcPr>
            <w:tcW w:type="dxa" w:w="2592"/>
            <w:vAlign w:val="center"/>
          </w:tcPr>
          <w:p>
            <w:r/>
            <w:r>
              <w:rPr>
                <w:rFonts w:ascii="Arial" w:hAnsi="Arial"/>
                <w:b w:val="0"/>
                <w:sz w:val="16"/>
              </w:rPr>
              <w:t>2</w:t>
            </w:r>
          </w:p>
        </w:tc>
        <w:tc>
          <w:tcPr>
            <w:tcW w:type="dxa" w:w="2592"/>
            <w:vAlign w:val="center"/>
          </w:tcPr>
          <w:p>
            <w:r/>
            <w:r>
              <w:rPr>
                <w:rFonts w:ascii="Arial" w:hAnsi="Arial"/>
                <w:b w:val="0"/>
                <w:sz w:val="16"/>
              </w:rPr>
              <w:t>Product revenue contribution differs across products.</w:t>
            </w:r>
          </w:p>
        </w:tc>
        <w:tc>
          <w:tcPr>
            <w:tcW w:type="dxa" w:w="2592"/>
            <w:vAlign w:val="center"/>
          </w:tcPr>
          <w:p>
            <w:r/>
            <w:r>
              <w:rPr>
                <w:rFonts w:ascii="Arial" w:hAnsi="Arial"/>
                <w:b w:val="0"/>
                <w:sz w:val="16"/>
              </w:rPr>
              <w:t>High</w:t>
            </w:r>
          </w:p>
        </w:tc>
        <w:tc>
          <w:tcPr>
            <w:tcW w:type="dxa" w:w="2592"/>
            <w:vAlign w:val="center"/>
          </w:tcPr>
          <w:p>
            <w:r/>
            <w:r>
              <w:rPr>
                <w:rFonts w:ascii="Arial" w:hAnsi="Arial"/>
                <w:b w:val="0"/>
                <w:sz w:val="16"/>
              </w:rPr>
              <w:t>Supported by product-level revenue analysis; units sold should be considered for demand interpretation.</w:t>
            </w:r>
          </w:p>
        </w:tc>
      </w:tr>
      <w:tr>
        <w:tc>
          <w:tcPr>
            <w:tcW w:type="dxa" w:w="2592"/>
            <w:vAlign w:val="center"/>
          </w:tcPr>
          <w:p>
            <w:r/>
            <w:r>
              <w:rPr>
                <w:rFonts w:ascii="Arial" w:hAnsi="Arial"/>
                <w:b w:val="0"/>
                <w:sz w:val="16"/>
              </w:rPr>
              <w:t>3</w:t>
            </w:r>
          </w:p>
        </w:tc>
        <w:tc>
          <w:tcPr>
            <w:tcW w:type="dxa" w:w="2592"/>
            <w:vAlign w:val="center"/>
          </w:tcPr>
          <w:p>
            <w:r/>
            <w:r>
              <w:rPr>
                <w:rFonts w:ascii="Arial" w:hAnsi="Arial"/>
                <w:b w:val="0"/>
                <w:sz w:val="16"/>
              </w:rPr>
              <w:t>Monthly sales performance varies.</w:t>
            </w:r>
          </w:p>
        </w:tc>
        <w:tc>
          <w:tcPr>
            <w:tcW w:type="dxa" w:w="2592"/>
            <w:vAlign w:val="center"/>
          </w:tcPr>
          <w:p>
            <w:r/>
            <w:r>
              <w:rPr>
                <w:rFonts w:ascii="Arial" w:hAnsi="Arial"/>
                <w:b w:val="0"/>
                <w:sz w:val="16"/>
              </w:rPr>
              <w:t>Medium</w:t>
            </w:r>
          </w:p>
        </w:tc>
        <w:tc>
          <w:tcPr>
            <w:tcW w:type="dxa" w:w="2592"/>
            <w:vAlign w:val="center"/>
          </w:tcPr>
          <w:p>
            <w:r/>
            <w:r>
              <w:rPr>
                <w:rFonts w:ascii="Arial" w:hAnsi="Arial"/>
                <w:b w:val="0"/>
                <w:sz w:val="16"/>
              </w:rPr>
              <w:t>Revenue movement should be interpreted with orders and AOV.</w:t>
            </w:r>
          </w:p>
        </w:tc>
      </w:tr>
      <w:tr>
        <w:tc>
          <w:tcPr>
            <w:tcW w:type="dxa" w:w="2592"/>
            <w:vAlign w:val="center"/>
          </w:tcPr>
          <w:p>
            <w:r/>
            <w:r>
              <w:rPr>
                <w:rFonts w:ascii="Arial" w:hAnsi="Arial"/>
                <w:b w:val="0"/>
                <w:sz w:val="16"/>
              </w:rPr>
              <w:t>4</w:t>
            </w:r>
          </w:p>
        </w:tc>
        <w:tc>
          <w:tcPr>
            <w:tcW w:type="dxa" w:w="2592"/>
            <w:vAlign w:val="center"/>
          </w:tcPr>
          <w:p>
            <w:r/>
            <w:r>
              <w:rPr>
                <w:rFonts w:ascii="Arial" w:hAnsi="Arial"/>
                <w:b w:val="0"/>
                <w:sz w:val="16"/>
              </w:rPr>
              <w:t>Customer segments differ in purchasing value/behavior.</w:t>
            </w:r>
          </w:p>
        </w:tc>
        <w:tc>
          <w:tcPr>
            <w:tcW w:type="dxa" w:w="2592"/>
            <w:vAlign w:val="center"/>
          </w:tcPr>
          <w:p>
            <w:r/>
            <w:r>
              <w:rPr>
                <w:rFonts w:ascii="Arial" w:hAnsi="Arial"/>
                <w:b w:val="0"/>
                <w:sz w:val="16"/>
              </w:rPr>
              <w:t>Medium</w:t>
            </w:r>
          </w:p>
        </w:tc>
        <w:tc>
          <w:tcPr>
            <w:tcW w:type="dxa" w:w="2592"/>
            <w:vAlign w:val="center"/>
          </w:tcPr>
          <w:p>
            <w:r/>
            <w:r>
              <w:rPr>
                <w:rFonts w:ascii="Arial" w:hAnsi="Arial"/>
                <w:b w:val="0"/>
                <w:sz w:val="16"/>
              </w:rPr>
              <w:t>Segment size and per-customer metrics must be considered.</w:t>
            </w:r>
          </w:p>
        </w:tc>
      </w:tr>
      <w:tr>
        <w:tc>
          <w:tcPr>
            <w:tcW w:type="dxa" w:w="2592"/>
            <w:vAlign w:val="center"/>
          </w:tcPr>
          <w:p>
            <w:r/>
            <w:r>
              <w:rPr>
                <w:rFonts w:ascii="Arial" w:hAnsi="Arial"/>
                <w:b w:val="0"/>
                <w:sz w:val="16"/>
              </w:rPr>
              <w:t>5</w:t>
            </w:r>
          </w:p>
        </w:tc>
        <w:tc>
          <w:tcPr>
            <w:tcW w:type="dxa" w:w="2592"/>
            <w:vAlign w:val="center"/>
          </w:tcPr>
          <w:p>
            <w:r/>
            <w:r>
              <w:rPr>
                <w:rFonts w:ascii="Arial" w:hAnsi="Arial"/>
                <w:b w:val="0"/>
                <w:sz w:val="16"/>
              </w:rPr>
              <w:t>Campaign revenue outcomes differ.</w:t>
            </w:r>
          </w:p>
        </w:tc>
        <w:tc>
          <w:tcPr>
            <w:tcW w:type="dxa" w:w="2592"/>
            <w:vAlign w:val="center"/>
          </w:tcPr>
          <w:p>
            <w:r/>
            <w:r>
              <w:rPr>
                <w:rFonts w:ascii="Arial" w:hAnsi="Arial"/>
                <w:b w:val="0"/>
                <w:sz w:val="16"/>
              </w:rPr>
              <w:t>Medium</w:t>
            </w:r>
          </w:p>
        </w:tc>
        <w:tc>
          <w:tcPr>
            <w:tcW w:type="dxa" w:w="2592"/>
            <w:vAlign w:val="center"/>
          </w:tcPr>
          <w:p>
            <w:r/>
            <w:r>
              <w:rPr>
                <w:rFonts w:ascii="Arial" w:hAnsi="Arial"/>
                <w:b w:val="0"/>
                <w:sz w:val="16"/>
              </w:rPr>
              <w:t>Revenue per customer is more appropriate than total revenue alone for fair comparison.</w:t>
            </w:r>
          </w:p>
        </w:tc>
      </w:tr>
      <w:tr>
        <w:tc>
          <w:tcPr>
            <w:tcW w:type="dxa" w:w="2592"/>
            <w:vAlign w:val="center"/>
          </w:tcPr>
          <w:p>
            <w:r/>
            <w:r>
              <w:rPr>
                <w:rFonts w:ascii="Arial" w:hAnsi="Arial"/>
                <w:b w:val="0"/>
                <w:sz w:val="16"/>
              </w:rPr>
              <w:t>6</w:t>
            </w:r>
          </w:p>
        </w:tc>
        <w:tc>
          <w:tcPr>
            <w:tcW w:type="dxa" w:w="2592"/>
            <w:vAlign w:val="center"/>
          </w:tcPr>
          <w:p>
            <w:r/>
            <w:r>
              <w:rPr>
                <w:rFonts w:ascii="Arial" w:hAnsi="Arial"/>
                <w:b w:val="0"/>
                <w:sz w:val="16"/>
              </w:rPr>
              <w:t>Store/geographic performance differs.</w:t>
            </w:r>
          </w:p>
        </w:tc>
        <w:tc>
          <w:tcPr>
            <w:tcW w:type="dxa" w:w="2592"/>
            <w:vAlign w:val="center"/>
          </w:tcPr>
          <w:p>
            <w:r/>
            <w:r>
              <w:rPr>
                <w:rFonts w:ascii="Arial" w:hAnsi="Arial"/>
                <w:b w:val="0"/>
                <w:sz w:val="16"/>
              </w:rPr>
              <w:t>Medium</w:t>
            </w:r>
          </w:p>
        </w:tc>
        <w:tc>
          <w:tcPr>
            <w:tcW w:type="dxa" w:w="2592"/>
            <w:vAlign w:val="center"/>
          </w:tcPr>
          <w:p>
            <w:r/>
            <w:r>
              <w:rPr>
                <w:rFonts w:ascii="Arial" w:hAnsi="Arial"/>
                <w:b w:val="0"/>
                <w:sz w:val="16"/>
              </w:rPr>
              <w:t>Total revenue should be considered alongside order/customer volume.</w:t>
            </w:r>
          </w:p>
        </w:tc>
      </w:tr>
    </w:tbl>
    <w:p/>
    <w:p>
      <w:pPr>
        <w:pStyle w:val="Heading1"/>
      </w:pPr>
      <w:r>
        <w:t>11. Dashboard Readiness Decision</w:t>
      </w:r>
    </w:p>
    <w:p>
      <w:r>
        <w:t>No major business finding should proceed to the final dashboard without evidence and validation. Based on the Day 19 review, the findings above are approved for dashboard use with confidence labels and appropriate explanatory notes.</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rFonts w:ascii="Arial" w:hAnsi="Arial"/>
                <w:b/>
                <w:sz w:val="16"/>
              </w:rPr>
              <w:t>Dashboard Element</w:t>
            </w:r>
          </w:p>
        </w:tc>
        <w:tc>
          <w:tcPr>
            <w:tcW w:type="dxa" w:w="3456"/>
            <w:vAlign w:val="center"/>
            <w:shd w:fill="D9EAF7"/>
          </w:tcPr>
          <w:p>
            <w:r/>
            <w:r>
              <w:rPr>
                <w:rFonts w:ascii="Arial" w:hAnsi="Arial"/>
                <w:b/>
                <w:sz w:val="16"/>
              </w:rPr>
              <w:t>Status</w:t>
            </w:r>
          </w:p>
        </w:tc>
        <w:tc>
          <w:tcPr>
            <w:tcW w:type="dxa" w:w="3456"/>
            <w:vAlign w:val="center"/>
            <w:shd w:fill="D9EAF7"/>
          </w:tcPr>
          <w:p>
            <w:r/>
            <w:r>
              <w:rPr>
                <w:rFonts w:ascii="Arial" w:hAnsi="Arial"/>
                <w:b/>
                <w:sz w:val="16"/>
              </w:rPr>
              <w:t>Required Presentation Note</w:t>
            </w:r>
          </w:p>
        </w:tc>
      </w:tr>
      <w:tr>
        <w:tc>
          <w:tcPr>
            <w:tcW w:type="dxa" w:w="3456"/>
            <w:vAlign w:val="center"/>
          </w:tcPr>
          <w:p>
            <w:r/>
            <w:r>
              <w:rPr>
                <w:rFonts w:ascii="Arial" w:hAnsi="Arial"/>
                <w:b w:val="0"/>
                <w:sz w:val="16"/>
              </w:rPr>
              <w:t>Customer Value / High-Value Customers</w:t>
            </w:r>
          </w:p>
        </w:tc>
        <w:tc>
          <w:tcPr>
            <w:tcW w:type="dxa" w:w="3456"/>
            <w:vAlign w:val="center"/>
          </w:tcPr>
          <w:p>
            <w:r/>
            <w:r>
              <w:rPr>
                <w:rFonts w:ascii="Arial" w:hAnsi="Arial"/>
                <w:b w:val="0"/>
                <w:sz w:val="16"/>
              </w:rPr>
              <w:t>Approved</w:t>
            </w:r>
          </w:p>
        </w:tc>
        <w:tc>
          <w:tcPr>
            <w:tcW w:type="dxa" w:w="3456"/>
            <w:vAlign w:val="center"/>
          </w:tcPr>
          <w:p>
            <w:r/>
            <w:r>
              <w:rPr>
                <w:rFonts w:ascii="Arial" w:hAnsi="Arial"/>
                <w:b w:val="0"/>
                <w:sz w:val="16"/>
              </w:rPr>
              <w:t>Show customer revenue contribution and avoid implying causality.</w:t>
            </w:r>
          </w:p>
        </w:tc>
      </w:tr>
      <w:tr>
        <w:tc>
          <w:tcPr>
            <w:tcW w:type="dxa" w:w="3456"/>
            <w:vAlign w:val="center"/>
          </w:tcPr>
          <w:p>
            <w:r/>
            <w:r>
              <w:rPr>
                <w:rFonts w:ascii="Arial" w:hAnsi="Arial"/>
                <w:b w:val="0"/>
                <w:sz w:val="16"/>
              </w:rPr>
              <w:t>Product Performance</w:t>
            </w:r>
          </w:p>
        </w:tc>
        <w:tc>
          <w:tcPr>
            <w:tcW w:type="dxa" w:w="3456"/>
            <w:vAlign w:val="center"/>
          </w:tcPr>
          <w:p>
            <w:r/>
            <w:r>
              <w:rPr>
                <w:rFonts w:ascii="Arial" w:hAnsi="Arial"/>
                <w:b w:val="0"/>
                <w:sz w:val="16"/>
              </w:rPr>
              <w:t>Approved</w:t>
            </w:r>
          </w:p>
        </w:tc>
        <w:tc>
          <w:tcPr>
            <w:tcW w:type="dxa" w:w="3456"/>
            <w:vAlign w:val="center"/>
          </w:tcPr>
          <w:p>
            <w:r/>
            <w:r>
              <w:rPr>
                <w:rFonts w:ascii="Arial" w:hAnsi="Arial"/>
                <w:b w:val="0"/>
                <w:sz w:val="16"/>
              </w:rPr>
              <w:t>Pair revenue with units sold where possible.</w:t>
            </w:r>
          </w:p>
        </w:tc>
      </w:tr>
      <w:tr>
        <w:tc>
          <w:tcPr>
            <w:tcW w:type="dxa" w:w="3456"/>
            <w:vAlign w:val="center"/>
          </w:tcPr>
          <w:p>
            <w:r/>
            <w:r>
              <w:rPr>
                <w:rFonts w:ascii="Arial" w:hAnsi="Arial"/>
                <w:b w:val="0"/>
                <w:sz w:val="16"/>
              </w:rPr>
              <w:t>Monthly Trend</w:t>
            </w:r>
          </w:p>
        </w:tc>
        <w:tc>
          <w:tcPr>
            <w:tcW w:type="dxa" w:w="3456"/>
            <w:vAlign w:val="center"/>
          </w:tcPr>
          <w:p>
            <w:r/>
            <w:r>
              <w:rPr>
                <w:rFonts w:ascii="Arial" w:hAnsi="Arial"/>
                <w:b w:val="0"/>
                <w:sz w:val="16"/>
              </w:rPr>
              <w:t>Approved with context</w:t>
            </w:r>
          </w:p>
        </w:tc>
        <w:tc>
          <w:tcPr>
            <w:tcW w:type="dxa" w:w="3456"/>
            <w:vAlign w:val="center"/>
          </w:tcPr>
          <w:p>
            <w:r/>
            <w:r>
              <w:rPr>
                <w:rFonts w:ascii="Arial" w:hAnsi="Arial"/>
                <w:b w:val="0"/>
                <w:sz w:val="16"/>
              </w:rPr>
              <w:t>Explain that the analyzed period is limited and revenue should be read with order volume/AOV.</w:t>
            </w:r>
          </w:p>
        </w:tc>
      </w:tr>
      <w:tr>
        <w:tc>
          <w:tcPr>
            <w:tcW w:type="dxa" w:w="3456"/>
            <w:vAlign w:val="center"/>
          </w:tcPr>
          <w:p>
            <w:r/>
            <w:r>
              <w:rPr>
                <w:rFonts w:ascii="Arial" w:hAnsi="Arial"/>
                <w:b w:val="0"/>
                <w:sz w:val="16"/>
              </w:rPr>
              <w:t>Customer Segments</w:t>
            </w:r>
          </w:p>
        </w:tc>
        <w:tc>
          <w:tcPr>
            <w:tcW w:type="dxa" w:w="3456"/>
            <w:vAlign w:val="center"/>
          </w:tcPr>
          <w:p>
            <w:r/>
            <w:r>
              <w:rPr>
                <w:rFonts w:ascii="Arial" w:hAnsi="Arial"/>
                <w:b w:val="0"/>
                <w:sz w:val="16"/>
              </w:rPr>
              <w:t>Approved with context</w:t>
            </w:r>
          </w:p>
        </w:tc>
        <w:tc>
          <w:tcPr>
            <w:tcW w:type="dxa" w:w="3456"/>
            <w:vAlign w:val="center"/>
          </w:tcPr>
          <w:p>
            <w:r/>
            <w:r>
              <w:rPr>
                <w:rFonts w:ascii="Arial" w:hAnsi="Arial"/>
                <w:b w:val="0"/>
                <w:sz w:val="16"/>
              </w:rPr>
              <w:t>Show segment size and/or per-customer metrics.</w:t>
            </w:r>
          </w:p>
        </w:tc>
      </w:tr>
      <w:tr>
        <w:tc>
          <w:tcPr>
            <w:tcW w:type="dxa" w:w="3456"/>
            <w:vAlign w:val="center"/>
          </w:tcPr>
          <w:p>
            <w:r/>
            <w:r>
              <w:rPr>
                <w:rFonts w:ascii="Arial" w:hAnsi="Arial"/>
                <w:b w:val="0"/>
                <w:sz w:val="16"/>
              </w:rPr>
              <w:t>Campaign Performance</w:t>
            </w:r>
          </w:p>
        </w:tc>
        <w:tc>
          <w:tcPr>
            <w:tcW w:type="dxa" w:w="3456"/>
            <w:vAlign w:val="center"/>
          </w:tcPr>
          <w:p>
            <w:r/>
            <w:r>
              <w:rPr>
                <w:rFonts w:ascii="Arial" w:hAnsi="Arial"/>
                <w:b w:val="0"/>
                <w:sz w:val="16"/>
              </w:rPr>
              <w:t>Approved with context</w:t>
            </w:r>
          </w:p>
        </w:tc>
        <w:tc>
          <w:tcPr>
            <w:tcW w:type="dxa" w:w="3456"/>
            <w:vAlign w:val="center"/>
          </w:tcPr>
          <w:p>
            <w:r/>
            <w:r>
              <w:rPr>
                <w:rFonts w:ascii="Arial" w:hAnsi="Arial"/>
                <w:b w:val="0"/>
                <w:sz w:val="16"/>
              </w:rPr>
              <w:t>Prefer revenue per customer or another normalized KPI.</w:t>
            </w:r>
          </w:p>
        </w:tc>
      </w:tr>
      <w:tr>
        <w:tc>
          <w:tcPr>
            <w:tcW w:type="dxa" w:w="3456"/>
            <w:vAlign w:val="center"/>
          </w:tcPr>
          <w:p>
            <w:r/>
            <w:r>
              <w:rPr>
                <w:rFonts w:ascii="Arial" w:hAnsi="Arial"/>
                <w:b w:val="0"/>
                <w:sz w:val="16"/>
              </w:rPr>
              <w:t>Store/Geographic Performance</w:t>
            </w:r>
          </w:p>
        </w:tc>
        <w:tc>
          <w:tcPr>
            <w:tcW w:type="dxa" w:w="3456"/>
            <w:vAlign w:val="center"/>
          </w:tcPr>
          <w:p>
            <w:r/>
            <w:r>
              <w:rPr>
                <w:rFonts w:ascii="Arial" w:hAnsi="Arial"/>
                <w:b w:val="0"/>
                <w:sz w:val="16"/>
              </w:rPr>
              <w:t>Approved with context</w:t>
            </w:r>
          </w:p>
        </w:tc>
        <w:tc>
          <w:tcPr>
            <w:tcW w:type="dxa" w:w="3456"/>
            <w:vAlign w:val="center"/>
          </w:tcPr>
          <w:p>
            <w:r/>
            <w:r>
              <w:rPr>
                <w:rFonts w:ascii="Arial" w:hAnsi="Arial"/>
                <w:b w:val="0"/>
                <w:sz w:val="16"/>
              </w:rPr>
              <w:t>Compare revenue with order/customer volume.</w:t>
            </w:r>
          </w:p>
        </w:tc>
      </w:tr>
    </w:tbl>
    <w:p/>
    <w:p>
      <w:pPr>
        <w:pStyle w:val="Heading1"/>
      </w:pPr>
      <w:r>
        <w:t>12. Limitations &amp; Risks</w:t>
      </w:r>
    </w:p>
    <w:p>
      <w:pPr>
        <w:pStyle w:val="ListBullet"/>
      </w:pPr>
      <w:r>
        <w:t>The dataset is small, so findings should not automatically be generalized to a larger population.</w:t>
      </w:r>
    </w:p>
    <w:p>
      <w:pPr>
        <w:pStyle w:val="ListBullet"/>
      </w:pPr>
      <w:r>
        <w:t>The available analysis period may not be sufficient to establish long-term seasonal patterns.</w:t>
      </w:r>
    </w:p>
    <w:p>
      <w:pPr>
        <w:pStyle w:val="ListBullet"/>
      </w:pPr>
      <w:r>
        <w:t>Campaign effectiveness cannot be interpreted as causal impact without controlled exposure or experimental data.</w:t>
      </w:r>
    </w:p>
    <w:p>
      <w:pPr>
        <w:pStyle w:val="ListBullet"/>
      </w:pPr>
      <w:r>
        <w:t>Revenue concentration can be influenced by transaction size and purchase frequency.</w:t>
      </w:r>
    </w:p>
    <w:p>
      <w:pPr>
        <w:pStyle w:val="ListBullet"/>
      </w:pPr>
      <w:r>
        <w:t>Store comparisons can be affected by customer traffic, store size, and transaction volume.</w:t>
      </w:r>
    </w:p>
    <w:p>
      <w:pPr>
        <w:pStyle w:val="ListBullet"/>
      </w:pPr>
      <w:r>
        <w:t>Medium-confidence findings should be revisited when more historical and customer-exposure data becomes available.</w:t>
      </w:r>
    </w:p>
    <w:p>
      <w:pPr>
        <w:pStyle w:val="Heading1"/>
      </w:pPr>
      <w:r>
        <w:t>13. Acceptance Criteria Checklist</w:t>
      </w:r>
    </w:p>
    <w:tbl>
      <w:tblPr>
        <w:tblStyle w:val="TableGrid"/>
        <w:tblW w:type="auto" w:w="0"/>
        <w:jc w:val="center"/>
        <w:tblLook w:firstColumn="1" w:firstRow="1" w:lastColumn="0" w:lastRow="0" w:noHBand="0" w:noVBand="1" w:val="04A0"/>
      </w:tblPr>
      <w:tblGrid>
        <w:gridCol w:w="3456"/>
        <w:gridCol w:w="3456"/>
        <w:gridCol w:w="3456"/>
      </w:tblGrid>
      <w:tr>
        <w:tc>
          <w:tcPr>
            <w:tcW w:type="dxa" w:w="3456"/>
            <w:vAlign w:val="center"/>
            <w:shd w:fill="D9EAF7"/>
          </w:tcPr>
          <w:p>
            <w:r/>
            <w:r>
              <w:rPr>
                <w:rFonts w:ascii="Arial" w:hAnsi="Arial"/>
                <w:b/>
                <w:sz w:val="16"/>
              </w:rPr>
              <w:t>Acceptance Criterion</w:t>
            </w:r>
          </w:p>
        </w:tc>
        <w:tc>
          <w:tcPr>
            <w:tcW w:type="dxa" w:w="3456"/>
            <w:vAlign w:val="center"/>
            <w:shd w:fill="D9EAF7"/>
          </w:tcPr>
          <w:p>
            <w:r/>
            <w:r>
              <w:rPr>
                <w:rFonts w:ascii="Arial" w:hAnsi="Arial"/>
                <w:b/>
                <w:sz w:val="16"/>
              </w:rPr>
              <w:t>Status</w:t>
            </w:r>
          </w:p>
        </w:tc>
        <w:tc>
          <w:tcPr>
            <w:tcW w:type="dxa" w:w="3456"/>
            <w:vAlign w:val="center"/>
            <w:shd w:fill="D9EAF7"/>
          </w:tcPr>
          <w:p>
            <w:r/>
            <w:r>
              <w:rPr>
                <w:rFonts w:ascii="Arial" w:hAnsi="Arial"/>
                <w:b/>
                <w:sz w:val="16"/>
              </w:rPr>
              <w:t>Evidence in This Report</w:t>
            </w:r>
          </w:p>
        </w:tc>
      </w:tr>
      <w:tr>
        <w:tc>
          <w:tcPr>
            <w:tcW w:type="dxa" w:w="3456"/>
            <w:vAlign w:val="center"/>
          </w:tcPr>
          <w:p>
            <w:r/>
            <w:r>
              <w:rPr>
                <w:rFonts w:ascii="Arial" w:hAnsi="Arial"/>
                <w:b w:val="0"/>
                <w:sz w:val="16"/>
              </w:rPr>
              <w:t>Completed Insight Validation Register</w:t>
            </w:r>
          </w:p>
        </w:tc>
        <w:tc>
          <w:tcPr>
            <w:tcW w:type="dxa" w:w="3456"/>
            <w:vAlign w:val="center"/>
          </w:tcPr>
          <w:p>
            <w:r/>
            <w:r>
              <w:rPr>
                <w:rFonts w:ascii="Arial" w:hAnsi="Arial"/>
                <w:b w:val="0"/>
                <w:sz w:val="16"/>
              </w:rPr>
              <w:t>PASS</w:t>
            </w:r>
          </w:p>
        </w:tc>
        <w:tc>
          <w:tcPr>
            <w:tcW w:type="dxa" w:w="3456"/>
            <w:vAlign w:val="center"/>
          </w:tcPr>
          <w:p>
            <w:r/>
            <w:r>
              <w:rPr>
                <w:rFonts w:ascii="Arial" w:hAnsi="Arial"/>
                <w:b w:val="0"/>
                <w:sz w:val="16"/>
              </w:rPr>
              <w:t>Section 5.</w:t>
            </w:r>
          </w:p>
        </w:tc>
      </w:tr>
      <w:tr>
        <w:tc>
          <w:tcPr>
            <w:tcW w:type="dxa" w:w="3456"/>
            <w:vAlign w:val="center"/>
          </w:tcPr>
          <w:p>
            <w:r/>
            <w:r>
              <w:rPr>
                <w:rFonts w:ascii="Arial" w:hAnsi="Arial"/>
                <w:b w:val="0"/>
                <w:sz w:val="16"/>
              </w:rPr>
              <w:t>Sensitivity analysis completed</w:t>
            </w:r>
          </w:p>
        </w:tc>
        <w:tc>
          <w:tcPr>
            <w:tcW w:type="dxa" w:w="3456"/>
            <w:vAlign w:val="center"/>
          </w:tcPr>
          <w:p>
            <w:r/>
            <w:r>
              <w:rPr>
                <w:rFonts w:ascii="Arial" w:hAnsi="Arial"/>
                <w:b w:val="0"/>
                <w:sz w:val="16"/>
              </w:rPr>
              <w:t>PASS</w:t>
            </w:r>
          </w:p>
        </w:tc>
        <w:tc>
          <w:tcPr>
            <w:tcW w:type="dxa" w:w="3456"/>
            <w:vAlign w:val="center"/>
          </w:tcPr>
          <w:p>
            <w:r/>
            <w:r>
              <w:rPr>
                <w:rFonts w:ascii="Arial" w:hAnsi="Arial"/>
                <w:b w:val="0"/>
                <w:sz w:val="16"/>
              </w:rPr>
              <w:t>Section 7.</w:t>
            </w:r>
          </w:p>
        </w:tc>
      </w:tr>
      <w:tr>
        <w:tc>
          <w:tcPr>
            <w:tcW w:type="dxa" w:w="3456"/>
            <w:vAlign w:val="center"/>
          </w:tcPr>
          <w:p>
            <w:r/>
            <w:r>
              <w:rPr>
                <w:rFonts w:ascii="Arial" w:hAnsi="Arial"/>
                <w:b w:val="0"/>
                <w:sz w:val="16"/>
              </w:rPr>
              <w:t>Alternative explanation assessment</w:t>
            </w:r>
          </w:p>
        </w:tc>
        <w:tc>
          <w:tcPr>
            <w:tcW w:type="dxa" w:w="3456"/>
            <w:vAlign w:val="center"/>
          </w:tcPr>
          <w:p>
            <w:r/>
            <w:r>
              <w:rPr>
                <w:rFonts w:ascii="Arial" w:hAnsi="Arial"/>
                <w:b w:val="0"/>
                <w:sz w:val="16"/>
              </w:rPr>
              <w:t>PASS</w:t>
            </w:r>
          </w:p>
        </w:tc>
        <w:tc>
          <w:tcPr>
            <w:tcW w:type="dxa" w:w="3456"/>
            <w:vAlign w:val="center"/>
          </w:tcPr>
          <w:p>
            <w:r/>
            <w:r>
              <w:rPr>
                <w:rFonts w:ascii="Arial" w:hAnsi="Arial"/>
                <w:b w:val="0"/>
                <w:sz w:val="16"/>
              </w:rPr>
              <w:t>Sections 6 and 8.</w:t>
            </w:r>
          </w:p>
        </w:tc>
      </w:tr>
      <w:tr>
        <w:tc>
          <w:tcPr>
            <w:tcW w:type="dxa" w:w="3456"/>
            <w:vAlign w:val="center"/>
          </w:tcPr>
          <w:p>
            <w:r/>
            <w:r>
              <w:rPr>
                <w:rFonts w:ascii="Arial" w:hAnsi="Arial"/>
                <w:b w:val="0"/>
                <w:sz w:val="16"/>
              </w:rPr>
              <w:t>Confidence rating for priority findings</w:t>
            </w:r>
          </w:p>
        </w:tc>
        <w:tc>
          <w:tcPr>
            <w:tcW w:type="dxa" w:w="3456"/>
            <w:vAlign w:val="center"/>
          </w:tcPr>
          <w:p>
            <w:r/>
            <w:r>
              <w:rPr>
                <w:rFonts w:ascii="Arial" w:hAnsi="Arial"/>
                <w:b w:val="0"/>
                <w:sz w:val="16"/>
              </w:rPr>
              <w:t>PASS</w:t>
            </w:r>
          </w:p>
        </w:tc>
        <w:tc>
          <w:tcPr>
            <w:tcW w:type="dxa" w:w="3456"/>
            <w:vAlign w:val="center"/>
          </w:tcPr>
          <w:p>
            <w:r/>
            <w:r>
              <w:rPr>
                <w:rFonts w:ascii="Arial" w:hAnsi="Arial"/>
                <w:b w:val="0"/>
                <w:sz w:val="16"/>
              </w:rPr>
              <w:t>Section 9 and 10.</w:t>
            </w:r>
          </w:p>
        </w:tc>
      </w:tr>
      <w:tr>
        <w:tc>
          <w:tcPr>
            <w:tcW w:type="dxa" w:w="3456"/>
            <w:vAlign w:val="center"/>
          </w:tcPr>
          <w:p>
            <w:r/>
            <w:r>
              <w:rPr>
                <w:rFonts w:ascii="Arial" w:hAnsi="Arial"/>
                <w:b w:val="0"/>
                <w:sz w:val="16"/>
              </w:rPr>
              <w:t>Final validated insights documented</w:t>
            </w:r>
          </w:p>
        </w:tc>
        <w:tc>
          <w:tcPr>
            <w:tcW w:type="dxa" w:w="3456"/>
            <w:vAlign w:val="center"/>
          </w:tcPr>
          <w:p>
            <w:r/>
            <w:r>
              <w:rPr>
                <w:rFonts w:ascii="Arial" w:hAnsi="Arial"/>
                <w:b w:val="0"/>
                <w:sz w:val="16"/>
              </w:rPr>
              <w:t>PASS</w:t>
            </w:r>
          </w:p>
        </w:tc>
        <w:tc>
          <w:tcPr>
            <w:tcW w:type="dxa" w:w="3456"/>
            <w:vAlign w:val="center"/>
          </w:tcPr>
          <w:p>
            <w:r/>
            <w:r>
              <w:rPr>
                <w:rFonts w:ascii="Arial" w:hAnsi="Arial"/>
                <w:b w:val="0"/>
                <w:sz w:val="16"/>
              </w:rPr>
              <w:t>Section 10.</w:t>
            </w:r>
          </w:p>
        </w:tc>
      </w:tr>
      <w:tr>
        <w:tc>
          <w:tcPr>
            <w:tcW w:type="dxa" w:w="3456"/>
            <w:vAlign w:val="center"/>
          </w:tcPr>
          <w:p>
            <w:r/>
            <w:r>
              <w:rPr>
                <w:rFonts w:ascii="Arial" w:hAnsi="Arial"/>
                <w:b w:val="0"/>
                <w:sz w:val="16"/>
              </w:rPr>
              <w:t>Major findings validated before dashboard use</w:t>
            </w:r>
          </w:p>
        </w:tc>
        <w:tc>
          <w:tcPr>
            <w:tcW w:type="dxa" w:w="3456"/>
            <w:vAlign w:val="center"/>
          </w:tcPr>
          <w:p>
            <w:r/>
            <w:r>
              <w:rPr>
                <w:rFonts w:ascii="Arial" w:hAnsi="Arial"/>
                <w:b w:val="0"/>
                <w:sz w:val="16"/>
              </w:rPr>
              <w:t>PASS</w:t>
            </w:r>
          </w:p>
        </w:tc>
        <w:tc>
          <w:tcPr>
            <w:tcW w:type="dxa" w:w="3456"/>
            <w:vAlign w:val="center"/>
          </w:tcPr>
          <w:p>
            <w:r/>
            <w:r>
              <w:rPr>
                <w:rFonts w:ascii="Arial" w:hAnsi="Arial"/>
                <w:b w:val="0"/>
                <w:sz w:val="16"/>
              </w:rPr>
              <w:t>Section 11.</w:t>
            </w:r>
          </w:p>
        </w:tc>
      </w:tr>
      <w:tr>
        <w:tc>
          <w:tcPr>
            <w:tcW w:type="dxa" w:w="3456"/>
            <w:vAlign w:val="center"/>
          </w:tcPr>
          <w:p>
            <w:r/>
            <w:r>
              <w:rPr>
                <w:rFonts w:ascii="Arial" w:hAnsi="Arial"/>
                <w:b w:val="0"/>
                <w:sz w:val="16"/>
              </w:rPr>
              <w:t>Potential confounders documented</w:t>
            </w:r>
          </w:p>
        </w:tc>
        <w:tc>
          <w:tcPr>
            <w:tcW w:type="dxa" w:w="3456"/>
            <w:vAlign w:val="center"/>
          </w:tcPr>
          <w:p>
            <w:r/>
            <w:r>
              <w:rPr>
                <w:rFonts w:ascii="Arial" w:hAnsi="Arial"/>
                <w:b w:val="0"/>
                <w:sz w:val="16"/>
              </w:rPr>
              <w:t>PASS</w:t>
            </w:r>
          </w:p>
        </w:tc>
        <w:tc>
          <w:tcPr>
            <w:tcW w:type="dxa" w:w="3456"/>
            <w:vAlign w:val="center"/>
          </w:tcPr>
          <w:p>
            <w:r/>
            <w:r>
              <w:rPr>
                <w:rFonts w:ascii="Arial" w:hAnsi="Arial"/>
                <w:b w:val="0"/>
                <w:sz w:val="16"/>
              </w:rPr>
              <w:t>Section 5 and 8.</w:t>
            </w:r>
          </w:p>
        </w:tc>
      </w:tr>
    </w:tbl>
    <w:p/>
    <w:p>
      <w:pPr>
        <w:pStyle w:val="Heading1"/>
      </w:pPr>
      <w:r>
        <w:t>14. Final Conclusion</w:t>
      </w:r>
    </w:p>
    <w:p>
      <w:r>
        <w:t>Day 19 validation confirms that the project's major insights have been challenged rather than accepted at face value. The priority customer-value finding is specifically tested against an outlier-related alternative assumption. High-confidence findings can be carried into the final dashboard, while medium-confidence findings should be accompanied by context and limitations. This validation step reduces the risk of presenting misleading comparisons or conclusions caused by outliers, segment composition, transaction volume, or incomplete context.</w:t>
      </w:r>
    </w:p>
    <w:p/>
    <w:p>
      <w:pPr>
        <w:jc w:val="center"/>
      </w:pPr>
      <w:r>
        <w:rPr>
          <w:b/>
          <w:sz w:val="24"/>
        </w:rPr>
        <w:t>Overall Day 19 Status: COMPLETED</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Lab 99 Data Analytics Internship • Day 19 – Insight Validation &amp; Sensitivity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