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C5A"/>
          <w:sz w:val="44"/>
        </w:rPr>
        <w:t>NOVA Q / EIT 11D</w:t>
        <w:br/>
        <w:t>CONCEPTUAL RESEARCH FRAMEWORK</w:t>
      </w:r>
    </w:p>
    <w:p>
      <w:pPr>
        <w:jc w:val="center"/>
      </w:pPr>
      <w:r>
        <w:rPr>
          <w:i/>
          <w:sz w:val="28"/>
        </w:rPr>
        <w:t>Mapping Neurodevelopmental, Neuroimmunological, and Cellular Time Paradoxes</w:t>
        <w:br/>
        <w:t>Through Information-Flow Blockage Analysis</w:t>
      </w:r>
    </w:p>
    <w:p/>
    <w:p/>
    <w:tbl>
      <w:tblPr>
        <w:tblStyle w:val="TableGrid"/>
        <w:tblW w:type="auto" w:w="0"/>
        <w:jc w:val="center"/>
        <w:tblLayout w:type="autofit"/>
        <w:tblLook w:firstColumn="1" w:firstRow="1" w:lastColumn="0" w:lastRow="0" w:noHBand="0" w:noVBand="1" w:val="04A0"/>
      </w:tblPr>
      <w:tblGrid>
        <w:gridCol w:w="4896"/>
        <w:gridCol w:w="4896"/>
      </w:tblGrid>
      <w:tr>
        <w:tc>
          <w:tcPr>
            <w:tcW w:type="dxa" w:w="2448"/>
            <w:vAlign w:val="top"/>
            <w:shd w:fill="D9EAF7"/>
          </w:tcPr>
          <w:p>
            <w:r>
              <w:rPr>
                <w:sz w:val="16"/>
              </w:rPr>
            </w:r>
            <w:r>
              <w:rPr>
                <w:rFonts w:ascii="Times New Roman" w:hAnsi="Times New Roman"/>
                <w:b/>
                <w:sz w:val="16"/>
              </w:rPr>
              <w:t>Field</w:t>
            </w:r>
          </w:p>
        </w:tc>
        <w:tc>
          <w:tcPr>
            <w:tcW w:type="dxa" w:w="8352"/>
            <w:vAlign w:val="top"/>
            <w:shd w:fill="D9EAF7"/>
          </w:tcPr>
          <w:p>
            <w:r>
              <w:rPr>
                <w:sz w:val="16"/>
              </w:rPr>
            </w:r>
            <w:r>
              <w:rPr>
                <w:rFonts w:ascii="Times New Roman" w:hAnsi="Times New Roman"/>
                <w:b/>
                <w:sz w:val="16"/>
              </w:rPr>
              <w:t>Value</w:t>
            </w:r>
          </w:p>
        </w:tc>
      </w:tr>
      <w:tr>
        <w:tc>
          <w:tcPr>
            <w:tcW w:type="dxa" w:w="2448"/>
            <w:vAlign w:val="top"/>
          </w:tcPr>
          <w:p>
            <w:r>
              <w:rPr>
                <w:sz w:val="16"/>
              </w:rPr>
            </w:r>
            <w:r>
              <w:rPr>
                <w:rFonts w:ascii="Times New Roman" w:hAnsi="Times New Roman"/>
                <w:b w:val="0"/>
                <w:sz w:val="16"/>
              </w:rPr>
              <w:t>Created by</w:t>
            </w:r>
          </w:p>
        </w:tc>
        <w:tc>
          <w:tcPr>
            <w:tcW w:type="dxa" w:w="8352"/>
            <w:vAlign w:val="top"/>
          </w:tcPr>
          <w:p>
            <w:r>
              <w:rPr>
                <w:sz w:val="16"/>
              </w:rPr>
            </w:r>
            <w:r>
              <w:rPr>
                <w:rFonts w:ascii="Times New Roman" w:hAnsi="Times New Roman"/>
                <w:b w:val="0"/>
                <w:sz w:val="16"/>
              </w:rPr>
              <w:t>Mr. Toni Mladenovski</w:t>
            </w:r>
          </w:p>
        </w:tc>
      </w:tr>
      <w:tr>
        <w:tc>
          <w:tcPr>
            <w:tcW w:type="dxa" w:w="2448"/>
            <w:vAlign w:val="top"/>
          </w:tcPr>
          <w:p>
            <w:r>
              <w:rPr>
                <w:sz w:val="16"/>
              </w:rPr>
            </w:r>
            <w:r>
              <w:rPr>
                <w:rFonts w:ascii="Times New Roman" w:hAnsi="Times New Roman"/>
                <w:b w:val="0"/>
                <w:sz w:val="16"/>
              </w:rPr>
              <w:t>Framework</w:t>
            </w:r>
          </w:p>
        </w:tc>
        <w:tc>
          <w:tcPr>
            <w:tcW w:type="dxa" w:w="8352"/>
            <w:vAlign w:val="top"/>
          </w:tcPr>
          <w:p>
            <w:r>
              <w:rPr>
                <w:sz w:val="16"/>
              </w:rPr>
            </w:r>
            <w:r>
              <w:rPr>
                <w:rFonts w:ascii="Times New Roman" w:hAnsi="Times New Roman"/>
                <w:b w:val="0"/>
                <w:sz w:val="16"/>
              </w:rPr>
              <w:t>NOVA Q / EIT 11D</w:t>
            </w:r>
          </w:p>
        </w:tc>
      </w:tr>
      <w:tr>
        <w:tc>
          <w:tcPr>
            <w:tcW w:type="dxa" w:w="2448"/>
            <w:vAlign w:val="top"/>
          </w:tcPr>
          <w:p>
            <w:r>
              <w:rPr>
                <w:sz w:val="16"/>
              </w:rPr>
            </w:r>
            <w:r>
              <w:rPr>
                <w:rFonts w:ascii="Times New Roman" w:hAnsi="Times New Roman"/>
                <w:b w:val="0"/>
                <w:sz w:val="16"/>
              </w:rPr>
              <w:t>Version</w:t>
            </w:r>
          </w:p>
        </w:tc>
        <w:tc>
          <w:tcPr>
            <w:tcW w:type="dxa" w:w="8352"/>
            <w:vAlign w:val="top"/>
          </w:tcPr>
          <w:p>
            <w:r>
              <w:rPr>
                <w:sz w:val="16"/>
              </w:rPr>
            </w:r>
            <w:r>
              <w:rPr>
                <w:rFonts w:ascii="Times New Roman" w:hAnsi="Times New Roman"/>
                <w:b w:val="0"/>
                <w:sz w:val="16"/>
              </w:rPr>
              <w:t>V1.0</w:t>
            </w:r>
          </w:p>
        </w:tc>
      </w:tr>
      <w:tr>
        <w:tc>
          <w:tcPr>
            <w:tcW w:type="dxa" w:w="2448"/>
            <w:vAlign w:val="top"/>
          </w:tcPr>
          <w:p>
            <w:r>
              <w:rPr>
                <w:sz w:val="16"/>
              </w:rPr>
            </w:r>
            <w:r>
              <w:rPr>
                <w:rFonts w:ascii="Times New Roman" w:hAnsi="Times New Roman"/>
                <w:b w:val="0"/>
                <w:sz w:val="16"/>
              </w:rPr>
              <w:t>Status</w:t>
            </w:r>
          </w:p>
        </w:tc>
        <w:tc>
          <w:tcPr>
            <w:tcW w:type="dxa" w:w="8352"/>
            <w:vAlign w:val="top"/>
          </w:tcPr>
          <w:p>
            <w:r>
              <w:rPr>
                <w:sz w:val="16"/>
              </w:rPr>
            </w:r>
            <w:r>
              <w:rPr>
                <w:rFonts w:ascii="Times New Roman" w:hAnsi="Times New Roman"/>
                <w:b w:val="0"/>
                <w:sz w:val="16"/>
              </w:rPr>
              <w:t>Conceptual Scientific Research Model</w:t>
            </w:r>
          </w:p>
        </w:tc>
      </w:tr>
      <w:tr>
        <w:tc>
          <w:tcPr>
            <w:tcW w:type="dxa" w:w="2448"/>
            <w:vAlign w:val="top"/>
          </w:tcPr>
          <w:p>
            <w:r>
              <w:rPr>
                <w:sz w:val="16"/>
              </w:rPr>
            </w:r>
            <w:r>
              <w:rPr>
                <w:rFonts w:ascii="Times New Roman" w:hAnsi="Times New Roman"/>
                <w:b w:val="0"/>
                <w:sz w:val="16"/>
              </w:rPr>
              <w:t>Safety</w:t>
            </w:r>
          </w:p>
        </w:tc>
        <w:tc>
          <w:tcPr>
            <w:tcW w:type="dxa" w:w="8352"/>
            <w:vAlign w:val="top"/>
          </w:tcPr>
          <w:p>
            <w:r>
              <w:rPr>
                <w:sz w:val="16"/>
              </w:rPr>
            </w:r>
            <w:r>
              <w:rPr>
                <w:rFonts w:ascii="Times New Roman" w:hAnsi="Times New Roman"/>
                <w:b w:val="0"/>
                <w:sz w:val="16"/>
              </w:rPr>
              <w:t>Article 7 Active - No Diagnosis, No Treatment, No Cure Claim, Medical Validation Required</w:t>
            </w:r>
          </w:p>
        </w:tc>
      </w:tr>
      <w:tr>
        <w:tc>
          <w:tcPr>
            <w:tcW w:type="dxa" w:w="2448"/>
            <w:vAlign w:val="top"/>
          </w:tcPr>
          <w:p>
            <w:r>
              <w:rPr>
                <w:sz w:val="16"/>
              </w:rPr>
            </w:r>
            <w:r>
              <w:rPr>
                <w:rFonts w:ascii="Times New Roman" w:hAnsi="Times New Roman"/>
                <w:b w:val="0"/>
                <w:sz w:val="16"/>
              </w:rPr>
              <w:t>Date</w:t>
            </w:r>
          </w:p>
        </w:tc>
        <w:tc>
          <w:tcPr>
            <w:tcW w:type="dxa" w:w="8352"/>
            <w:vAlign w:val="top"/>
          </w:tcPr>
          <w:p>
            <w:r>
              <w:rPr>
                <w:sz w:val="16"/>
              </w:rPr>
            </w:r>
            <w:r>
              <w:rPr>
                <w:rFonts w:ascii="Times New Roman" w:hAnsi="Times New Roman"/>
                <w:b w:val="0"/>
                <w:sz w:val="16"/>
              </w:rPr>
              <w:t>June 2026</w:t>
            </w:r>
          </w:p>
        </w:tc>
      </w:tr>
    </w:tbl>
    <w:p/>
    <w:p/>
    <w:p>
      <w:pPr>
        <w:spacing w:before="60" w:after="80"/>
        <w:ind w:left="504" w:right="288"/>
      </w:pPr>
      <w:r>
        <w:rPr>
          <w:i/>
          <w:color w:val="375573"/>
          <w:sz w:val="22"/>
        </w:rPr>
        <w:t>"A visible state is incomplete until hidden flow, coherence, compensation, timing, identity, and safety are mapped."</w:t>
      </w:r>
    </w:p>
    <w:p>
      <w:pPr>
        <w:pStyle w:val="SmallNote"/>
      </w:pPr>
      <w:r>
        <w:t>Safety Notice: This document is conceptual, educational, and research-oriented only. It is not a medical device, diagnostic instrument, treatment guide, clinical prediction tool, biological protocol, or human-use instruction.</w:t>
      </w:r>
    </w:p>
    <w:p>
      <w:r>
        <w:br w:type="page"/>
      </w:r>
    </w:p>
    <w:p>
      <w:pPr>
        <w:pStyle w:val="Heading1"/>
      </w:pPr>
      <w:r>
        <w:t>Table of Contents</w:t>
      </w:r>
    </w:p>
    <w:p>
      <w:pPr>
        <w:pStyle w:val="ListNumber"/>
      </w:pPr>
      <w:r>
        <w:t>1. Introduction</w:t>
      </w:r>
    </w:p>
    <w:p>
      <w:pPr>
        <w:pStyle w:val="ListNumber"/>
      </w:pPr>
      <w:r>
        <w:t>2. Methodology</w:t>
      </w:r>
    </w:p>
    <w:p>
      <w:pPr>
        <w:pStyle w:val="ListNumber"/>
      </w:pPr>
      <w:r>
        <w:t>3. NOVA Q / EIT 11D Framework</w:t>
      </w:r>
    </w:p>
    <w:p>
      <w:pPr>
        <w:pStyle w:val="ListNumber"/>
      </w:pPr>
      <w:r>
        <w:t>4. Experiment 1: Autism / Neurodevelopmental Coherence Model</w:t>
      </w:r>
    </w:p>
    <w:p>
      <w:pPr>
        <w:pStyle w:val="ListNumber"/>
      </w:pPr>
      <w:r>
        <w:t>5. Experiment 2: Multiple Sclerosis / Hidden Network Coherence Model</w:t>
      </w:r>
    </w:p>
    <w:p>
      <w:pPr>
        <w:pStyle w:val="ListNumber"/>
      </w:pPr>
      <w:r>
        <w:t>6. Experiment 3: Cellular Rejuvenation / Identity-Time Stability Model</w:t>
      </w:r>
    </w:p>
    <w:p>
      <w:pPr>
        <w:pStyle w:val="ListNumber"/>
      </w:pPr>
      <w:r>
        <w:t>7. Comparative Synthesis</w:t>
      </w:r>
    </w:p>
    <w:p>
      <w:pPr>
        <w:pStyle w:val="ListNumber"/>
      </w:pPr>
      <w:r>
        <w:t>8. Limitations</w:t>
      </w:r>
    </w:p>
    <w:p>
      <w:pPr>
        <w:pStyle w:val="ListNumber"/>
      </w:pPr>
      <w:r>
        <w:t>9. Article 7 Safety Declaration</w:t>
      </w:r>
    </w:p>
    <w:p>
      <w:pPr>
        <w:pStyle w:val="ListNumber"/>
      </w:pPr>
      <w:r>
        <w:t>10. Conclusion</w:t>
      </w:r>
    </w:p>
    <w:p>
      <w:pPr>
        <w:pStyle w:val="ListNumber"/>
      </w:pPr>
      <w:r>
        <w:t>11. Visual Appendix Plan</w:t>
      </w:r>
    </w:p>
    <w:p>
      <w:pPr>
        <w:pStyle w:val="ListNumber"/>
      </w:pPr>
      <w:r>
        <w:t>12. References</w:t>
      </w:r>
    </w:p>
    <w:p>
      <w:pPr>
        <w:pStyle w:val="ListNumber"/>
      </w:pPr>
      <w:r>
        <w:t>13. Document Status</w:t>
      </w:r>
    </w:p>
    <w:p>
      <w:r>
        <w:br w:type="page"/>
      </w:r>
    </w:p>
    <w:p>
      <w:pPr>
        <w:pStyle w:val="Heading1"/>
      </w:pPr>
      <w:r>
        <w:t>Abstract</w:t>
      </w:r>
    </w:p>
    <w:p>
      <w:r>
        <w:t>This paper presents the NOVA Q / EIT 11D Conceptual Research Framework as a structured method for analyzing complex biological and medical paradoxes through the identification of blocked or distorted flows of information, regulation, coherence, and systemic response.</w:t>
      </w:r>
    </w:p>
    <w:p>
      <w:r>
        <w:t>The framework is applied to three conceptual research experiments: autism-related neurodevelopmental mechanisms, the clinico-radiological paradox in multiple sclerosis, and the cellular rejuvenation time paradox. Each case presents a different form of mismatch between visible structure, biological behavior, and functional outcome.</w:t>
      </w:r>
    </w:p>
    <w:p>
      <w:r>
        <w:t>The central methodological principle of this work is that before applying any NOVA Q / EIT interpretation, the system must first identify where the flow is stuck. In the autism-related neurodevelopmental model, the blockage is explored through sensory input, neural amplification, coherence overload, and protected communication. In the multiple sclerosis model, the blockage appears between visible lesion load and actual functional disruption, suggesting the importance of hidden network damage, compensation capacity, and functional reserve (Barkhof, 2002; Chard et al., 2017). In the cellular rejuvenation model, the blockage appears between age reset and identity stability, raising the problem of how biological time may be partially reversed without collapsing cellular identity, genomic safety, or regulatory coherence (Ocampo et al., 2016; Simpson et al., 2021; Yücel &amp; Gladyshev, 2024).</w:t>
      </w:r>
    </w:p>
    <w:p>
      <w:r>
        <w:t>This paper does not present a diagnostic tool, treatment protocol, cure claim, or clinical intervention. Instead, it proposes a conceptual research architecture for organizing complex paradoxes into observable layers, blockage points, symbolic variables, safety boundaries, and comparative interpretation. The framework is designed for educational, philosophical, scientific-artistic, and hypothesis-generating research purposes only.</w:t>
      </w:r>
    </w:p>
    <w:p>
      <w:r>
        <w:t>Article 7 safety boundaries remain active throughout the entire framework. All outputs are conceptual, non-clinical, and require independent scientific and medical validation before any real-world interpretation or application.</w:t>
      </w:r>
    </w:p>
    <w:p>
      <w:r>
        <w:t>Keywords: NOVA Q, EIT 11D, Blockage-Point Analysis, Information-Flow Disruption, Coherence Overload, Neurodevelopmental Coherence, Hidden Network Coherence, Identity-Time Stability, Clinico-Radiological Paradox, Cellular Rejuvenation, Conceptual Research Framework, Article 7 Safety, Paradox Research, Neuroimmunology, Cellular Identity, Functional Reserve, Compensation, Systemic Coherence</w:t>
      </w:r>
    </w:p>
    <w:p>
      <w:pPr>
        <w:pStyle w:val="Heading1"/>
      </w:pPr>
      <w:r>
        <w:t>1. Introduction</w:t>
      </w:r>
    </w:p>
    <w:p>
      <w:pPr>
        <w:pStyle w:val="Heading2"/>
      </w:pPr>
      <w:r>
        <w:t>1.1 Background</w:t>
      </w:r>
    </w:p>
    <w:p>
      <w:r>
        <w:t>Complex biological and medical systems often present paradoxes where visible evidence does not fully explain observed outcomes or experiences. A child may appear withdrawn while processing overwhelming sensory information (Centers for Disease Control and Prevention, 2024). A patient with multiple sclerosis may show limited MRI lesions while experiencing significant functional disruption (Barkhof, 2002; Hartmann et al., 2023). A cell may display reduced biological age markers while facing unresolved risks to identity and genomic stability (Horvath, 2013; Simpson et al., 2021).</w:t>
      </w:r>
    </w:p>
    <w:p>
      <w:r>
        <w:t>These paradoxes challenge conventional approaches that rely primarily on visible, measurable structure as the primary source of truth about system state. They suggest that something hidden - information flow, coherence, compensation, timing, identity stability, or safety boundaries - may be equally or more important than visible structure alone (Barkhof, 2002; Markram et al., 2007).</w:t>
      </w:r>
    </w:p>
    <w:p>
      <w:pPr>
        <w:pStyle w:val="Heading2"/>
      </w:pPr>
      <w:r>
        <w:t>1.2 Problem Statement</w:t>
      </w:r>
    </w:p>
    <w:p>
      <w:r>
        <w:t>Current scientific and medical models often treat visible data as the starting point and endpoint of analysis. While this approach has produced enormous advances, it faces limits when visible evidence and lived or functional outcomes diverge.</w:t>
      </w:r>
    </w:p>
    <w:p>
      <w:r>
        <w:t>The problem is not that visible data is wrong. The problem is that visible data may be incomplete. A system may look one way while functioning another way due to hidden dynamics that are not captured by conventional measurement tools.</w:t>
      </w:r>
    </w:p>
    <w:p>
      <w:r>
        <w:t>The NOVA Q / EIT 11D framework was developed as a response to this problem. It offers a structured method for examining paradoxes by identifying where information flow, regulation, coherence, compensation, timing, identity, and safety may be disrupted or mismatched.</w:t>
      </w:r>
    </w:p>
    <w:p>
      <w:pPr>
        <w:pStyle w:val="Heading2"/>
      </w:pPr>
      <w:r>
        <w:t>1.3 Purpose and Scope</w:t>
      </w:r>
    </w:p>
    <w:p>
      <w:r>
        <w:t>The purpose of this paper is to present the NOVA Q / EIT 11D Conceptual Research Framework as a structured, safety-bounded, hypothesis-generating architecture for analyzing biological paradoxes.</w:t>
      </w:r>
    </w:p>
    <w:p>
      <w:r>
        <w:t>The framework is applied to three conceptual experiments:</w:t>
      </w:r>
    </w:p>
    <w:p>
      <w:pPr>
        <w:pStyle w:val="ListNumber"/>
      </w:pPr>
      <w:r>
        <w:t>Autism-related neurodevelopmental mechanisms - examined as a coherence-overload and protected-compensation paradox (Centers for Disease Control and Prevention, 2024; National Institute of Mental Health, n.d.; Markram et al., 2007; Markram &amp; Markram, 2010).</w:t>
      </w:r>
    </w:p>
    <w:p>
      <w:pPr>
        <w:pStyle w:val="ListNumber"/>
      </w:pPr>
      <w:r>
        <w:t>Multiple sclerosis clinico-radiological paradox - examined as a hidden network coherence and compensation-reserve paradox (National Institute of Neurological Disorders and Stroke, 2025; MedlinePlus, 2026; Barkhof, 2002; Chard et al., 2017; Hartmann et al., 2023).</w:t>
      </w:r>
    </w:p>
    <w:p>
      <w:pPr>
        <w:pStyle w:val="ListNumber"/>
      </w:pPr>
      <w:r>
        <w:t>Cellular rejuvenation time paradox - examined as an identity-time stability paradox (Horvath, 2013; Ocampo et al., 2016; Simpson et al., 2021; Paine et al., 2024; Yücel &amp; Gladyshev, 2024; Jo et al., 2025).</w:t>
      </w:r>
    </w:p>
    <w:p>
      <w:r>
        <w:t>The scope of this paper is strictly conceptual. It does not provide diagnosis, treatment, clinical prediction, intervention protocol, or human-use guidance. All outputs require independent scientific validation and medical review before any real-world application.</w:t>
      </w:r>
    </w:p>
    <w:p>
      <w:pPr>
        <w:pStyle w:val="Heading2"/>
      </w:pPr>
      <w:r>
        <w:t>1.4 Structure of the Paper</w:t>
      </w:r>
    </w:p>
    <w:p>
      <w:pPr>
        <w:pStyle w:val="ListBullet"/>
      </w:pPr>
      <w:r>
        <w:t>Section 2 presents the methodology, including the core EIT logic sequence.</w:t>
      </w:r>
    </w:p>
    <w:p>
      <w:pPr>
        <w:pStyle w:val="ListBullet"/>
      </w:pPr>
      <w:r>
        <w:t>Section 3 defines the NOVA Q / EIT 11D framework layers (D1-D11).</w:t>
      </w:r>
    </w:p>
    <w:p>
      <w:pPr>
        <w:pStyle w:val="ListBullet"/>
      </w:pPr>
      <w:r>
        <w:t>Sections 4-6 present the three conceptual experiments.</w:t>
      </w:r>
    </w:p>
    <w:p>
      <w:pPr>
        <w:pStyle w:val="ListBullet"/>
      </w:pPr>
      <w:r>
        <w:t>Section 7 provides comparative synthesis.</w:t>
      </w:r>
    </w:p>
    <w:p>
      <w:pPr>
        <w:pStyle w:val="ListBullet"/>
      </w:pPr>
      <w:r>
        <w:t>Sections 8-10 discuss limitations, safety, and conclusions.</w:t>
      </w:r>
    </w:p>
    <w:p>
      <w:pPr>
        <w:pStyle w:val="ListBullet"/>
      </w:pPr>
      <w:r>
        <w:t>Appendices include visual maps and reference materials.</w:t>
      </w:r>
    </w:p>
    <w:p>
      <w:pPr>
        <w:pStyle w:val="Heading1"/>
      </w:pPr>
      <w:r>
        <w:t>2. Methodology</w:t>
      </w:r>
    </w:p>
    <w:p>
      <w:pPr>
        <w:pStyle w:val="Heading2"/>
      </w:pPr>
      <w:r>
        <w:t>2.1 Core Method Principle</w:t>
      </w:r>
    </w:p>
    <w:p>
      <w:r>
        <w:t>The NOVA Q / EIT method is built on one central principle:</w:t>
      </w:r>
    </w:p>
    <w:p>
      <w:pPr>
        <w:spacing w:before="60" w:after="80"/>
        <w:ind w:left="504" w:right="288"/>
      </w:pPr>
      <w:r>
        <w:rPr>
          <w:i/>
          <w:color w:val="375573"/>
          <w:sz w:val="22"/>
        </w:rPr>
        <w:t>"Before interpretation begins, identify where the flow is stuck."</w:t>
      </w:r>
    </w:p>
    <w:p>
      <w:r>
        <w:t>This means that the framework does not begin with an answer, a diagnosis, a treatment, or a clinical hypothesis. It begins with a disciplined examination of where information, regulation, coherence, or system response may be blocked, distorted, overloaded, or mismatched.</w:t>
      </w:r>
    </w:p>
    <w:p>
      <w:pPr>
        <w:pStyle w:val="Heading2"/>
      </w:pPr>
      <w:r>
        <w:t>2.2 EIT Logic Sequence</w:t>
      </w:r>
    </w:p>
    <w:p>
      <w:pPr>
        <w:pStyle w:val="CodeBlock"/>
      </w:pPr>
      <w:r>
        <w:rPr>
          <w:rFonts w:ascii="Courier New" w:hAnsi="Courier New"/>
          <w:sz w:val="18"/>
        </w:rPr>
        <w:t>PUBLIC INFORMATION LAYER</w:t>
      </w:r>
    </w:p>
    <w:p>
      <w:pPr>
        <w:pStyle w:val="CodeBlock"/>
      </w:pPr>
      <w:r>
        <w:rPr>
          <w:rFonts w:ascii="Courier New" w:hAnsi="Courier New"/>
          <w:sz w:val="18"/>
        </w:rPr>
        <w:t xml:space="preserve">        ↓</w:t>
      </w:r>
    </w:p>
    <w:p>
      <w:pPr>
        <w:pStyle w:val="CodeBlock"/>
      </w:pPr>
      <w:r>
        <w:rPr>
          <w:rFonts w:ascii="Courier New" w:hAnsi="Courier New"/>
          <w:sz w:val="18"/>
        </w:rPr>
        <w:t>PARADOX RECOGNITION</w:t>
      </w:r>
    </w:p>
    <w:p>
      <w:pPr>
        <w:pStyle w:val="CodeBlock"/>
      </w:pPr>
      <w:r>
        <w:rPr>
          <w:rFonts w:ascii="Courier New" w:hAnsi="Courier New"/>
          <w:sz w:val="18"/>
        </w:rPr>
        <w:t xml:space="preserve">        ↓</w:t>
      </w:r>
    </w:p>
    <w:p>
      <w:pPr>
        <w:pStyle w:val="CodeBlock"/>
      </w:pPr>
      <w:r>
        <w:rPr>
          <w:rFonts w:ascii="Courier New" w:hAnsi="Courier New"/>
          <w:sz w:val="18"/>
        </w:rPr>
        <w:t>VISIBLE MISMATCH IDENTIFICATION</w:t>
      </w:r>
    </w:p>
    <w:p>
      <w:pPr>
        <w:pStyle w:val="CodeBlock"/>
      </w:pPr>
      <w:r>
        <w:rPr>
          <w:rFonts w:ascii="Courier New" w:hAnsi="Courier New"/>
          <w:sz w:val="18"/>
        </w:rPr>
        <w:t xml:space="preserve">        ↓</w:t>
      </w:r>
    </w:p>
    <w:p>
      <w:pPr>
        <w:pStyle w:val="CodeBlock"/>
      </w:pPr>
      <w:r>
        <w:rPr>
          <w:rFonts w:ascii="Courier New" w:hAnsi="Courier New"/>
          <w:sz w:val="18"/>
        </w:rPr>
        <w:t>BLOCKAGE POINT IDENTIFICATION</w:t>
      </w:r>
    </w:p>
    <w:p>
      <w:pPr>
        <w:pStyle w:val="CodeBlock"/>
      </w:pPr>
      <w:r>
        <w:rPr>
          <w:rFonts w:ascii="Courier New" w:hAnsi="Courier New"/>
          <w:sz w:val="18"/>
        </w:rPr>
        <w:t xml:space="preserve">        ↓</w:t>
      </w:r>
    </w:p>
    <w:p>
      <w:pPr>
        <w:pStyle w:val="CodeBlock"/>
      </w:pPr>
      <w:r>
        <w:rPr>
          <w:rFonts w:ascii="Courier New" w:hAnsi="Courier New"/>
          <w:sz w:val="18"/>
        </w:rPr>
        <w:t>D1-D11 LAYER MAPPING</w:t>
      </w:r>
    </w:p>
    <w:p>
      <w:pPr>
        <w:pStyle w:val="CodeBlock"/>
      </w:pPr>
      <w:r>
        <w:rPr>
          <w:rFonts w:ascii="Courier New" w:hAnsi="Courier New"/>
          <w:sz w:val="18"/>
        </w:rPr>
        <w:t xml:space="preserve">        ↓</w:t>
      </w:r>
    </w:p>
    <w:p>
      <w:pPr>
        <w:pStyle w:val="CodeBlock"/>
      </w:pPr>
      <w:r>
        <w:rPr>
          <w:rFonts w:ascii="Courier New" w:hAnsi="Courier New"/>
          <w:sz w:val="18"/>
        </w:rPr>
        <w:t>SYMBOLIC VARIABLE DEFINITION</w:t>
      </w:r>
    </w:p>
    <w:p>
      <w:pPr>
        <w:pStyle w:val="CodeBlock"/>
      </w:pPr>
      <w:r>
        <w:rPr>
          <w:rFonts w:ascii="Courier New" w:hAnsi="Courier New"/>
          <w:sz w:val="18"/>
        </w:rPr>
        <w:t xml:space="preserve">        ↓</w:t>
      </w:r>
    </w:p>
    <w:p>
      <w:pPr>
        <w:pStyle w:val="CodeBlock"/>
      </w:pPr>
      <w:r>
        <w:rPr>
          <w:rFonts w:ascii="Courier New" w:hAnsi="Courier New"/>
          <w:sz w:val="18"/>
        </w:rPr>
        <w:t>CONCEPTUAL EXPERIMENT</w:t>
      </w:r>
    </w:p>
    <w:p>
      <w:pPr>
        <w:pStyle w:val="CodeBlock"/>
      </w:pPr>
      <w:r>
        <w:rPr>
          <w:rFonts w:ascii="Courier New" w:hAnsi="Courier New"/>
          <w:sz w:val="18"/>
        </w:rPr>
        <w:t xml:space="preserve">        ↓</w:t>
      </w:r>
    </w:p>
    <w:p>
      <w:pPr>
        <w:pStyle w:val="CodeBlock"/>
      </w:pPr>
      <w:r>
        <w:rPr>
          <w:rFonts w:ascii="Courier New" w:hAnsi="Courier New"/>
          <w:sz w:val="18"/>
        </w:rPr>
        <w:t>ARTICLE 7 SAFETY CHECK</w:t>
      </w:r>
    </w:p>
    <w:p>
      <w:pPr>
        <w:pStyle w:val="CodeBlock"/>
      </w:pPr>
      <w:r>
        <w:rPr>
          <w:rFonts w:ascii="Courier New" w:hAnsi="Courier New"/>
          <w:sz w:val="18"/>
        </w:rPr>
        <w:t xml:space="preserve">        ↓</w:t>
      </w:r>
    </w:p>
    <w:p>
      <w:pPr>
        <w:pStyle w:val="CodeBlock"/>
      </w:pPr>
      <w:r>
        <w:rPr>
          <w:rFonts w:ascii="Courier New" w:hAnsi="Courier New"/>
          <w:sz w:val="18"/>
        </w:rPr>
        <w:t>RESEARCH INTERPRETATION</w:t>
      </w:r>
    </w:p>
    <w:p>
      <w:pPr>
        <w:pStyle w:val="Heading2"/>
      </w:pPr>
      <w:r>
        <w:t>2.3 Step-by-Step Description</w:t>
      </w:r>
    </w:p>
    <w:p>
      <w:r>
        <w:rPr>
          <w:b/>
        </w:rPr>
        <w:t>Step 1: Public Information Layer:</w:t>
      </w:r>
      <w:r>
        <w:t xml:space="preserve"> Gather publicly available scientific information about the system or paradox being examined. This includes peer-reviewed literature, public health sources, and established scientific knowledge (Centers for Disease Control and Prevention, 2024; National Institute of Mental Health, n.d.; National Institute of Neurological Disorders and Stroke, 2025; MedlinePlus, 2026). No original clinical data is collected or analyzed.</w:t>
      </w:r>
    </w:p>
    <w:p>
      <w:r>
        <w:rPr>
          <w:b/>
        </w:rPr>
        <w:t>Step 2: Paradox Recognition:</w:t>
      </w:r>
      <w:r>
        <w:t xml:space="preserve"> Identify the specific paradox or mismatch that the framework will examine. This is typically a situation where visible evidence does not fully explain functional outcome, lived experience, or system behavior (Barkhof, 2002; Markram et al., 2007).</w:t>
      </w:r>
    </w:p>
    <w:p>
      <w:r>
        <w:rPr>
          <w:b/>
        </w:rPr>
        <w:t>Step 3: Visible Mismatch Identification:</w:t>
      </w:r>
      <w:r>
        <w:t xml:space="preserve"> Describe what is visible and what is hidden. What does conventional measurement show? What does it fail to show? Where is the gap between structure and function?</w:t>
      </w:r>
    </w:p>
    <w:p>
      <w:r>
        <w:rPr>
          <w:b/>
        </w:rPr>
        <w:t>Step 4: Blockage Point Identification:</w:t>
      </w:r>
      <w:r>
        <w:t xml:space="preserve"> Identify where the flow of information, regulation, coherence, or response is stuck. This is a conceptual identification of where the system may be overloaded, disrupted, compensated, or mismatched.</w:t>
      </w:r>
    </w:p>
    <w:p>
      <w:r>
        <w:rPr>
          <w:b/>
        </w:rPr>
        <w:t>Step 5: D1-D11 Layer Mapping:</w:t>
      </w:r>
      <w:r>
        <w:t xml:space="preserve"> Apply the 11D framework to the specific paradox. Each D-layer asks a different question about the system.</w:t>
      </w:r>
    </w:p>
    <w:p>
      <w:r>
        <w:rPr>
          <w:b/>
        </w:rPr>
        <w:t>Step 6: Symbolic Variable Definition:</w:t>
      </w:r>
      <w:r>
        <w:t xml:space="preserve"> Define symbolic variables that represent key components of the system. These variables are conceptual, not validated biomarkers.</w:t>
      </w:r>
    </w:p>
    <w:p>
      <w:r>
        <w:rPr>
          <w:b/>
        </w:rPr>
        <w:t>Step 7: Conceptual Experiment:</w:t>
      </w:r>
      <w:r>
        <w:t xml:space="preserve"> Construct a conceptual experiment through symbolic reasoning, layer mapping, and comparative analysis.</w:t>
      </w:r>
    </w:p>
    <w:p>
      <w:r>
        <w:rPr>
          <w:b/>
        </w:rPr>
        <w:t>Step 8: Article 7 Safety Check:</w:t>
      </w:r>
      <w:r>
        <w:t xml:space="preserve"> Verify that the interpretation does not cross into diagnosis, treatment, cure claim, clinical prediction, or human-use guidance.</w:t>
      </w:r>
    </w:p>
    <w:p>
      <w:r>
        <w:rPr>
          <w:b/>
        </w:rPr>
        <w:t>Step 9: Research Interpretation:</w:t>
      </w:r>
      <w:r>
        <w:t xml:space="preserve"> Produce a research-oriented interpretation framed as conceptual, educational, and hypothesis-generating.</w:t>
      </w:r>
    </w:p>
    <w:p>
      <w:pPr>
        <w:pStyle w:val="Heading2"/>
      </w:pPr>
      <w:r>
        <w:t>2.4 Symbolic Variable Framework</w:t>
      </w:r>
    </w:p>
    <w:p>
      <w:r>
        <w:t>The EIT method uses symbolic variables to model system behavior conceptually. These variables are not validated clinical measurements. They are research tools for organizing thought and generating hypotheses.</w:t>
      </w:r>
    </w:p>
    <w:p>
      <w:pPr>
        <w:pStyle w:val="CodeBlock"/>
      </w:pPr>
      <w:r>
        <w:rPr>
          <w:rFonts w:ascii="Courier New" w:hAnsi="Courier New"/>
          <w:sz w:val="18"/>
        </w:rPr>
        <w:t>B_block = Pressure Factors / Stabilizing Factors</w:t>
      </w:r>
    </w:p>
    <w:p>
      <w:pPr>
        <w:pStyle w:val="ListBullet"/>
      </w:pPr>
      <w:r>
        <w:t>B_block = conceptual blockage intensity</w:t>
      </w:r>
    </w:p>
    <w:p>
      <w:pPr>
        <w:pStyle w:val="ListBullet"/>
      </w:pPr>
      <w:r>
        <w:t>Pressure Factors = input intensity, burden, reset pressure, temporal mismatch, hidden disruption, risk amplification</w:t>
      </w:r>
    </w:p>
    <w:p>
      <w:pPr>
        <w:pStyle w:val="ListBullet"/>
      </w:pPr>
      <w:r>
        <w:t>Stabilizing Factors = coherence, reserve, identity, network integration, filtering, genome stability, safety boundary</w:t>
      </w:r>
    </w:p>
    <w:p>
      <w:r>
        <w:t>This formula is symbolic only. It does not produce clinically meaningful numbers. It is a conceptual heuristic.</w:t>
      </w:r>
    </w:p>
    <w:p>
      <w:pPr>
        <w:pStyle w:val="Heading2"/>
      </w:pPr>
      <w:r>
        <w:t>2.5 Safety Boundaries</w:t>
      </w:r>
    </w:p>
    <w:p>
      <w:r>
        <w:t>The methodology is governed by Article 7 safety boundaries, which are embedded structurally through D10. These boundaries prevent the framework from being used for diagnosis, treatment, clinical prediction, or human-use guidance.</w:t>
      </w:r>
    </w:p>
    <w:p>
      <w:pPr>
        <w:pStyle w:val="ListNumber"/>
      </w:pPr>
      <w:r>
        <w:t>No diagnosis of any condition</w:t>
      </w:r>
    </w:p>
    <w:p>
      <w:pPr>
        <w:pStyle w:val="ListNumber"/>
      </w:pPr>
      <w:r>
        <w:t>No treatment recommendations</w:t>
      </w:r>
    </w:p>
    <w:p>
      <w:pPr>
        <w:pStyle w:val="ListNumber"/>
      </w:pPr>
      <w:r>
        <w:t>No cure claims</w:t>
      </w:r>
    </w:p>
    <w:p>
      <w:pPr>
        <w:pStyle w:val="ListNumber"/>
      </w:pPr>
      <w:r>
        <w:t>No clinical prediction</w:t>
      </w:r>
    </w:p>
    <w:p>
      <w:pPr>
        <w:pStyle w:val="ListNumber"/>
      </w:pPr>
      <w:r>
        <w:t>No medical interpretation without validation</w:t>
      </w:r>
    </w:p>
    <w:p>
      <w:pPr>
        <w:pStyle w:val="ListNumber"/>
      </w:pPr>
      <w:r>
        <w:t>No human-use protocols</w:t>
      </w:r>
    </w:p>
    <w:p>
      <w:pPr>
        <w:pStyle w:val="ListNumber"/>
      </w:pPr>
      <w:r>
        <w:t>No biological intervention instructions</w:t>
      </w:r>
    </w:p>
    <w:p>
      <w:pPr>
        <w:pStyle w:val="ListNumber"/>
      </w:pPr>
      <w:r>
        <w:t>No replacement for medical professionals</w:t>
      </w:r>
    </w:p>
    <w:p>
      <w:pPr>
        <w:pStyle w:val="ListNumber"/>
      </w:pPr>
      <w:r>
        <w:t>No claim of validated biomarkers</w:t>
      </w:r>
    </w:p>
    <w:p>
      <w:pPr>
        <w:pStyle w:val="ListNumber"/>
      </w:pPr>
      <w:r>
        <w:t>No unsafe real-world application</w:t>
      </w:r>
    </w:p>
    <w:p>
      <w:pPr>
        <w:pStyle w:val="Heading1"/>
      </w:pPr>
      <w:r>
        <w:t>3. NOVA Q / EIT 11D Framework</w:t>
      </w:r>
    </w:p>
    <w:p>
      <w:pPr>
        <w:pStyle w:val="Heading2"/>
      </w:pPr>
      <w:r>
        <w:t>3.1 Purpose of the 11D Framework</w:t>
      </w:r>
    </w:p>
    <w:p>
      <w:r>
        <w:t>The NOVA Q / EIT 11D Framework defines eleven interpretive layers used to examine complex biological and medical paradoxes through blockage-point analysis.</w:t>
      </w:r>
    </w:p>
    <w:p>
      <w:r>
        <w:t>The purpose of the 11D structure is not to diagnose, treat, or claim clinical authority. Its purpose is to organize complex systems into visible and hidden layers of structure, information, regulation, coherence, compensation, time, identity, safety, and research interpretation.</w:t>
      </w:r>
    </w:p>
    <w:p>
      <w:pPr>
        <w:pStyle w:val="ListBullet"/>
      </w:pPr>
      <w:r>
        <w:t>What part of the system is visible?</w:t>
      </w:r>
    </w:p>
    <w:p>
      <w:pPr>
        <w:pStyle w:val="ListBullet"/>
      </w:pPr>
      <w:r>
        <w:t>What part of the system is hidden?</w:t>
      </w:r>
    </w:p>
    <w:p>
      <w:pPr>
        <w:pStyle w:val="ListBullet"/>
      </w:pPr>
      <w:r>
        <w:t>Where is flow blocked?</w:t>
      </w:r>
    </w:p>
    <w:p>
      <w:pPr>
        <w:pStyle w:val="ListBullet"/>
      </w:pPr>
      <w:r>
        <w:t>Where is regulation distorted?</w:t>
      </w:r>
    </w:p>
    <w:p>
      <w:pPr>
        <w:pStyle w:val="ListBullet"/>
      </w:pPr>
      <w:r>
        <w:t>Where does compensation hide damage?</w:t>
      </w:r>
    </w:p>
    <w:p>
      <w:pPr>
        <w:pStyle w:val="ListBullet"/>
      </w:pPr>
      <w:r>
        <w:t>Where does apparent improvement create new risk?</w:t>
      </w:r>
    </w:p>
    <w:p>
      <w:pPr>
        <w:pStyle w:val="Heading2"/>
      </w:pPr>
      <w:r>
        <w:t>3.2 Layer Definitions</w:t>
      </w:r>
    </w:p>
    <w:p>
      <w:pPr>
        <w:pStyle w:val="Heading3"/>
      </w:pPr>
      <w:r>
        <w:t>D1 - Structural Substrate Layer</w:t>
      </w:r>
    </w:p>
    <w:p>
      <w:r>
        <w:rPr>
          <w:b/>
        </w:rPr>
        <w:t>Definition:</w:t>
      </w:r>
      <w:r>
        <w:t xml:space="preserve"> D1 represents the visible or measurable biological structure of the system. This includes anatomy, tissue organization, cellular architecture, lesions, organs, neural pathways, and any physical substrate that can be observed directly or indirectly through scientific tools.</w:t>
      </w:r>
    </w:p>
    <w:p>
      <w:r>
        <w:rPr>
          <w:b/>
        </w:rPr>
        <w:t>Functional Role:</w:t>
      </w:r>
      <w:r>
        <w:t xml:space="preserve"> D1 establishes the starting material reality of the system.</w:t>
      </w:r>
    </w:p>
    <w:p>
      <w:r>
        <w:rPr>
          <w:b/>
        </w:rPr>
        <w:t>Core Question:</w:t>
      </w:r>
      <w:r>
        <w:t xml:space="preserve"> What visible structure exists?</w:t>
      </w:r>
    </w:p>
    <w:p>
      <w:r>
        <w:rPr>
          <w:b/>
        </w:rPr>
        <w:t>Safety Boundary:</w:t>
      </w:r>
      <w:r>
        <w:t xml:space="preserve"> Visible structure alone must not be treated as diagnosis, prognosis, or proof of mechanism.</w:t>
      </w:r>
    </w:p>
    <w:p>
      <w:pPr>
        <w:pStyle w:val="Heading3"/>
      </w:pPr>
      <w:r>
        <w:t>D2 - Sensory / Input Layer</w:t>
      </w:r>
    </w:p>
    <w:p>
      <w:r>
        <w:rPr>
          <w:b/>
        </w:rPr>
        <w:t>Definition:</w:t>
      </w:r>
      <w:r>
        <w:t xml:space="preserve"> D2 represents the system's incoming signals: sensory, environmental, molecular, immunological, or regulatory inputs.</w:t>
      </w:r>
    </w:p>
    <w:p>
      <w:r>
        <w:rPr>
          <w:b/>
        </w:rPr>
        <w:t>Functional Role:</w:t>
      </w:r>
      <w:r>
        <w:t xml:space="preserve"> D2 identifies the entry point of information into the system.</w:t>
      </w:r>
    </w:p>
    <w:p>
      <w:r>
        <w:rPr>
          <w:b/>
        </w:rPr>
        <w:t>Core Question:</w:t>
      </w:r>
      <w:r>
        <w:t xml:space="preserve"> What is entering the system?</w:t>
      </w:r>
    </w:p>
    <w:p>
      <w:r>
        <w:rPr>
          <w:b/>
        </w:rPr>
        <w:t>Safety Boundary:</w:t>
      </w:r>
      <w:r>
        <w:t xml:space="preserve"> Input sensitivity must not be framed as defect. It is a system response variable.</w:t>
      </w:r>
    </w:p>
    <w:p>
      <w:pPr>
        <w:pStyle w:val="Heading3"/>
      </w:pPr>
      <w:r>
        <w:t>D3 - Signal Translation Layer</w:t>
      </w:r>
    </w:p>
    <w:p>
      <w:r>
        <w:rPr>
          <w:b/>
        </w:rPr>
        <w:t>Definition:</w:t>
      </w:r>
      <w:r>
        <w:t xml:space="preserve"> D3 represents how incoming information is translated into biological or functional meaning. This includes neural signaling, immune signaling, molecular signaling, sensory interpretation, and cellular response pathways.</w:t>
      </w:r>
    </w:p>
    <w:p>
      <w:r>
        <w:rPr>
          <w:b/>
        </w:rPr>
        <w:t>Functional Role:</w:t>
      </w:r>
      <w:r>
        <w:t xml:space="preserve"> D3 detects distortion between received input and internal translation.</w:t>
      </w:r>
    </w:p>
    <w:p>
      <w:r>
        <w:rPr>
          <w:b/>
        </w:rPr>
        <w:t>Core Question:</w:t>
      </w:r>
      <w:r>
        <w:t xml:space="preserve"> How is the incoming signal translated?</w:t>
      </w:r>
    </w:p>
    <w:p>
      <w:r>
        <w:rPr>
          <w:b/>
        </w:rPr>
        <w:t>Safety Boundary:</w:t>
      </w:r>
      <w:r>
        <w:t xml:space="preserve"> Signal differences must not be simplified into normal/abnormal binaries.</w:t>
      </w:r>
    </w:p>
    <w:p>
      <w:pPr>
        <w:pStyle w:val="Heading3"/>
      </w:pPr>
      <w:r>
        <w:t>D4 - Network Integration Layer</w:t>
      </w:r>
    </w:p>
    <w:p>
      <w:r>
        <w:rPr>
          <w:b/>
        </w:rPr>
        <w:t>Definition:</w:t>
      </w:r>
      <w:r>
        <w:t xml:space="preserve"> D4 represents how individual signals connect across a wider biological network, including neural connectivity, immune-network behavior, cellular communication, and system-wide coordination.</w:t>
      </w:r>
    </w:p>
    <w:p>
      <w:r>
        <w:rPr>
          <w:b/>
        </w:rPr>
        <w:t>Functional Role:</w:t>
      </w:r>
      <w:r>
        <w:t xml:space="preserve"> D4 identifies whether local changes become global system effects.</w:t>
      </w:r>
    </w:p>
    <w:p>
      <w:r>
        <w:rPr>
          <w:b/>
        </w:rPr>
        <w:t>Core Question:</w:t>
      </w:r>
      <w:r>
        <w:t xml:space="preserve"> How does the system connect its parts?</w:t>
      </w:r>
    </w:p>
    <w:p>
      <w:r>
        <w:rPr>
          <w:b/>
        </w:rPr>
        <w:t>Safety Boundary:</w:t>
      </w:r>
      <w:r>
        <w:t xml:space="preserve"> Network interpretation remains conceptual unless clinically validated.</w:t>
      </w:r>
    </w:p>
    <w:p>
      <w:pPr>
        <w:pStyle w:val="Heading3"/>
      </w:pPr>
      <w:r>
        <w:t>D5 - Coherence Layer</w:t>
      </w:r>
    </w:p>
    <w:p>
      <w:r>
        <w:rPr>
          <w:b/>
        </w:rPr>
        <w:t>Definition:</w:t>
      </w:r>
      <w:r>
        <w:t xml:space="preserve"> D5 represents the degree of alignment, stability, or synchronization within the system. Coherence means the system's internal signals remain coordinated enough to produce stable function.</w:t>
      </w:r>
    </w:p>
    <w:p>
      <w:r>
        <w:rPr>
          <w:b/>
        </w:rPr>
        <w:t>Functional Role:</w:t>
      </w:r>
      <w:r>
        <w:t xml:space="preserve"> D5 identifies overload, fragmentation, mismatch, or hidden instability.</w:t>
      </w:r>
    </w:p>
    <w:p>
      <w:r>
        <w:rPr>
          <w:b/>
        </w:rPr>
        <w:t>Core Question:</w:t>
      </w:r>
      <w:r>
        <w:t xml:space="preserve"> Is the system internally coherent?</w:t>
      </w:r>
    </w:p>
    <w:p>
      <w:r>
        <w:rPr>
          <w:b/>
        </w:rPr>
        <w:t>Safety Boundary:</w:t>
      </w:r>
      <w:r>
        <w:t xml:space="preserve"> Coherence scores must remain conceptual unless empirically defined.</w:t>
      </w:r>
    </w:p>
    <w:p>
      <w:pPr>
        <w:pStyle w:val="Heading3"/>
      </w:pPr>
      <w:r>
        <w:t>D6 - Compensation / Reserve Layer</w:t>
      </w:r>
    </w:p>
    <w:p>
      <w:r>
        <w:rPr>
          <w:b/>
        </w:rPr>
        <w:t>Definition:</w:t>
      </w:r>
      <w:r>
        <w:t xml:space="preserve"> D6 represents the system's ability to compensate for stress, damage, overload, or instability.</w:t>
      </w:r>
    </w:p>
    <w:p>
      <w:r>
        <w:rPr>
          <w:b/>
        </w:rPr>
        <w:t>Functional Role:</w:t>
      </w:r>
      <w:r>
        <w:t xml:space="preserve"> D6 explains why visible damage and functional outcome may not match.</w:t>
      </w:r>
    </w:p>
    <w:p>
      <w:r>
        <w:rPr>
          <w:b/>
        </w:rPr>
        <w:t>Core Question:</w:t>
      </w:r>
      <w:r>
        <w:t xml:space="preserve"> What is the system compensating for?</w:t>
      </w:r>
    </w:p>
    <w:p>
      <w:r>
        <w:rPr>
          <w:b/>
        </w:rPr>
        <w:t>Safety Boundary:</w:t>
      </w:r>
      <w:r>
        <w:t xml:space="preserve"> Compensation must not be misread as absence of difficulty or absence of risk.</w:t>
      </w:r>
    </w:p>
    <w:p>
      <w:pPr>
        <w:pStyle w:val="Heading3"/>
      </w:pPr>
      <w:r>
        <w:t>D7 - Environmental / Context Layer</w:t>
      </w:r>
    </w:p>
    <w:p>
      <w:r>
        <w:rPr>
          <w:b/>
        </w:rPr>
        <w:t>Definition:</w:t>
      </w:r>
      <w:r>
        <w:t xml:space="preserve"> D7 represents the surrounding context in which the system operates, including physical, social, immune, metabolic, tissue, and developmental contexts.</w:t>
      </w:r>
    </w:p>
    <w:p>
      <w:r>
        <w:rPr>
          <w:b/>
        </w:rPr>
        <w:t>Functional Role:</w:t>
      </w:r>
      <w:r>
        <w:t xml:space="preserve"> D7 identifies how external conditions shape internal response.</w:t>
      </w:r>
    </w:p>
    <w:p>
      <w:r>
        <w:rPr>
          <w:b/>
        </w:rPr>
        <w:t>Core Question:</w:t>
      </w:r>
      <w:r>
        <w:t xml:space="preserve"> What environment is the system responding to?</w:t>
      </w:r>
    </w:p>
    <w:p>
      <w:r>
        <w:rPr>
          <w:b/>
        </w:rPr>
        <w:t>Safety Boundary:</w:t>
      </w:r>
      <w:r>
        <w:t xml:space="preserve"> Context is not blame. Environment is a regulatory condition, not moral judgment.</w:t>
      </w:r>
    </w:p>
    <w:p>
      <w:pPr>
        <w:pStyle w:val="Heading3"/>
      </w:pPr>
      <w:r>
        <w:t>D8 - Temporal Development Layer</w:t>
      </w:r>
    </w:p>
    <w:p>
      <w:r>
        <w:rPr>
          <w:b/>
        </w:rPr>
        <w:t>Definition:</w:t>
      </w:r>
      <w:r>
        <w:t xml:space="preserve"> D8 represents time, sequence, development, progression, regression, and timing windows.</w:t>
      </w:r>
    </w:p>
    <w:p>
      <w:r>
        <w:rPr>
          <w:b/>
        </w:rPr>
        <w:t>Functional Role:</w:t>
      </w:r>
      <w:r>
        <w:t xml:space="preserve"> D8 identifies temporal mismatch and developmental phase sensitivity.</w:t>
      </w:r>
    </w:p>
    <w:p>
      <w:r>
        <w:rPr>
          <w:b/>
        </w:rPr>
        <w:t>Core Question:</w:t>
      </w:r>
      <w:r>
        <w:t xml:space="preserve"> When does the blockage appear?</w:t>
      </w:r>
    </w:p>
    <w:p>
      <w:r>
        <w:rPr>
          <w:b/>
        </w:rPr>
        <w:t>Safety Boundary:</w:t>
      </w:r>
      <w:r>
        <w:t xml:space="preserve"> Temporal patterns must not be used as predictive clinical claims without validation.</w:t>
      </w:r>
    </w:p>
    <w:p>
      <w:pPr>
        <w:pStyle w:val="Heading3"/>
      </w:pPr>
      <w:r>
        <w:t>D9 - Identity / Meaning Layer</w:t>
      </w:r>
    </w:p>
    <w:p>
      <w:r>
        <w:rPr>
          <w:b/>
        </w:rPr>
        <w:t>Definition:</w:t>
      </w:r>
      <w:r>
        <w:t xml:space="preserve"> D9 represents the system's retained identity, meaning structure, or functional self-pattern.</w:t>
      </w:r>
    </w:p>
    <w:p>
      <w:r>
        <w:rPr>
          <w:b/>
        </w:rPr>
        <w:t>Functional Role:</w:t>
      </w:r>
      <w:r>
        <w:t xml:space="preserve"> D9 protects against false interpretation of change as complete transformation.</w:t>
      </w:r>
    </w:p>
    <w:p>
      <w:r>
        <w:rPr>
          <w:b/>
        </w:rPr>
        <w:t>Core Question:</w:t>
      </w:r>
      <w:r>
        <w:t xml:space="preserve"> What identity must remain stable?</w:t>
      </w:r>
    </w:p>
    <w:p>
      <w:r>
        <w:rPr>
          <w:b/>
        </w:rPr>
        <w:t>Safety Boundary:</w:t>
      </w:r>
      <w:r>
        <w:t xml:space="preserve"> Identity must never be reduced to deficit, pathology, or output score.</w:t>
      </w:r>
    </w:p>
    <w:p>
      <w:pPr>
        <w:pStyle w:val="Heading3"/>
      </w:pPr>
      <w:r>
        <w:t>D10 - Safety / Boundary Layer</w:t>
      </w:r>
    </w:p>
    <w:p>
      <w:r>
        <w:rPr>
          <w:b/>
        </w:rPr>
        <w:t>Definition:</w:t>
      </w:r>
      <w:r>
        <w:t xml:space="preserve"> D10 represents the safety boundary that prevents overreach, misuse, or false claims. Article 7 is structurally embedded here.</w:t>
      </w:r>
    </w:p>
    <w:p>
      <w:r>
        <w:rPr>
          <w:b/>
        </w:rPr>
        <w:t>Functional Role:</w:t>
      </w:r>
      <w:r>
        <w:t xml:space="preserve"> D10 separates conceptual interpretation from clinical application.</w:t>
      </w:r>
    </w:p>
    <w:p>
      <w:r>
        <w:rPr>
          <w:b/>
        </w:rPr>
        <w:t>Core Question:</w:t>
      </w:r>
      <w:r>
        <w:t xml:space="preserve"> What must not be claimed?</w:t>
      </w:r>
    </w:p>
    <w:p>
      <w:r>
        <w:rPr>
          <w:b/>
        </w:rPr>
        <w:t>Safety Boundary:</w:t>
      </w:r>
      <w:r>
        <w:t xml:space="preserve"> D10 is mandatory. If D10 fails, the interpretation must stop.</w:t>
      </w:r>
    </w:p>
    <w:p>
      <w:pPr>
        <w:pStyle w:val="Heading3"/>
      </w:pPr>
      <w:r>
        <w:t>D11 - Research Output / Symbolic Translation Layer</w:t>
      </w:r>
    </w:p>
    <w:p>
      <w:r>
        <w:rPr>
          <w:b/>
        </w:rPr>
        <w:t>Definition:</w:t>
      </w:r>
      <w:r>
        <w:t xml:space="preserve"> D11 represents the final conceptual output of the EIT analysis.</w:t>
      </w:r>
    </w:p>
    <w:p>
      <w:r>
        <w:rPr>
          <w:b/>
        </w:rPr>
        <w:t>Functional Role:</w:t>
      </w:r>
      <w:r>
        <w:t xml:space="preserve"> D11 produces structured research interpretation without crossing into clinical claim.</w:t>
      </w:r>
    </w:p>
    <w:p>
      <w:r>
        <w:rPr>
          <w:b/>
        </w:rPr>
        <w:t>Core Question:</w:t>
      </w:r>
      <w:r>
        <w:t xml:space="preserve"> How is the model expressed safely?</w:t>
      </w:r>
    </w:p>
    <w:p>
      <w:r>
        <w:rPr>
          <w:b/>
        </w:rPr>
        <w:t>Safety Boundary:</w:t>
      </w:r>
      <w:r>
        <w:t xml:space="preserve"> D11 outputs are conceptual, educational, and research-oriented only.</w:t>
      </w:r>
    </w:p>
    <w:p>
      <w:pPr>
        <w:pStyle w:val="Heading2"/>
      </w:pPr>
      <w:r>
        <w:t>3.3 Layer Categorization</w:t>
      </w:r>
    </w:p>
    <w:p>
      <w:r>
        <w:t>Structural Layers: D1 Structural Substrate, D2 Sensory / Input, D3 Signal Translation.</w:t>
      </w:r>
    </w:p>
    <w:p>
      <w:r>
        <w:t>Flow / Regulation Layers: D4 Network Integration, D5 Coherence, D6 Compensation / Reserve, D7 Environmental / Context.</w:t>
      </w:r>
    </w:p>
    <w:p>
      <w:r>
        <w:t>Temporal / Paradox Layers: D8 Temporal Development, D9 Identity / Meaning, D10 Safety / Boundary.</w:t>
      </w:r>
    </w:p>
    <w:p>
      <w:r>
        <w:t>Interpretive / Output Layer: D11 Research Output / Symbolic Translation.</w:t>
      </w:r>
    </w:p>
    <w:p>
      <w:pPr>
        <w:pStyle w:val="Heading2"/>
      </w:pPr>
      <w:r>
        <w:t>3.4 NOVA Q / EIT Logic Integration</w:t>
      </w:r>
    </w:p>
    <w:p>
      <w:r>
        <w:t>The 11D Framework does not begin with an answer. It begins with blockage identification.</w:t>
      </w:r>
    </w:p>
    <w:p>
      <w:pPr>
        <w:pStyle w:val="CodeBlock"/>
      </w:pPr>
      <w:r>
        <w:rPr>
          <w:rFonts w:ascii="Courier New" w:hAnsi="Courier New"/>
          <w:sz w:val="18"/>
        </w:rPr>
        <w:t>Public / Scientific Information Layer</w:t>
      </w:r>
    </w:p>
    <w:p>
      <w:pPr>
        <w:pStyle w:val="CodeBlock"/>
      </w:pPr>
      <w:r>
        <w:rPr>
          <w:rFonts w:ascii="Courier New" w:hAnsi="Courier New"/>
          <w:sz w:val="18"/>
        </w:rPr>
        <w:t xml:space="preserve">        ↓</w:t>
      </w:r>
    </w:p>
    <w:p>
      <w:pPr>
        <w:pStyle w:val="CodeBlock"/>
      </w:pPr>
      <w:r>
        <w:rPr>
          <w:rFonts w:ascii="Courier New" w:hAnsi="Courier New"/>
          <w:sz w:val="18"/>
        </w:rPr>
        <w:t>Observed Paradox</w:t>
      </w:r>
    </w:p>
    <w:p>
      <w:pPr>
        <w:pStyle w:val="CodeBlock"/>
      </w:pPr>
      <w:r>
        <w:rPr>
          <w:rFonts w:ascii="Courier New" w:hAnsi="Courier New"/>
          <w:sz w:val="18"/>
        </w:rPr>
        <w:t xml:space="preserve">        ↓</w:t>
      </w:r>
    </w:p>
    <w:p>
      <w:pPr>
        <w:pStyle w:val="CodeBlock"/>
      </w:pPr>
      <w:r>
        <w:rPr>
          <w:rFonts w:ascii="Courier New" w:hAnsi="Courier New"/>
          <w:sz w:val="18"/>
        </w:rPr>
        <w:t>Visible Mismatch</w:t>
      </w:r>
    </w:p>
    <w:p>
      <w:pPr>
        <w:pStyle w:val="CodeBlock"/>
      </w:pPr>
      <w:r>
        <w:rPr>
          <w:rFonts w:ascii="Courier New" w:hAnsi="Courier New"/>
          <w:sz w:val="18"/>
        </w:rPr>
        <w:t xml:space="preserve">        ↓</w:t>
      </w:r>
    </w:p>
    <w:p>
      <w:pPr>
        <w:pStyle w:val="CodeBlock"/>
      </w:pPr>
      <w:r>
        <w:rPr>
          <w:rFonts w:ascii="Courier New" w:hAnsi="Courier New"/>
          <w:sz w:val="18"/>
        </w:rPr>
        <w:t>Hidden Blockage Point</w:t>
      </w:r>
    </w:p>
    <w:p>
      <w:pPr>
        <w:pStyle w:val="CodeBlock"/>
      </w:pPr>
      <w:r>
        <w:rPr>
          <w:rFonts w:ascii="Courier New" w:hAnsi="Courier New"/>
          <w:sz w:val="18"/>
        </w:rPr>
        <w:t xml:space="preserve">        ↓</w:t>
      </w:r>
    </w:p>
    <w:p>
      <w:pPr>
        <w:pStyle w:val="CodeBlock"/>
      </w:pPr>
      <w:r>
        <w:rPr>
          <w:rFonts w:ascii="Courier New" w:hAnsi="Courier New"/>
          <w:sz w:val="18"/>
        </w:rPr>
        <w:t>D1-D11 Layer Mapping</w:t>
      </w:r>
    </w:p>
    <w:p>
      <w:pPr>
        <w:pStyle w:val="CodeBlock"/>
      </w:pPr>
      <w:r>
        <w:rPr>
          <w:rFonts w:ascii="Courier New" w:hAnsi="Courier New"/>
          <w:sz w:val="18"/>
        </w:rPr>
        <w:t xml:space="preserve">        ↓</w:t>
      </w:r>
    </w:p>
    <w:p>
      <w:pPr>
        <w:pStyle w:val="CodeBlock"/>
      </w:pPr>
      <w:r>
        <w:rPr>
          <w:rFonts w:ascii="Courier New" w:hAnsi="Courier New"/>
          <w:sz w:val="18"/>
        </w:rPr>
        <w:t>Symbolic Variable Definition</w:t>
      </w:r>
    </w:p>
    <w:p>
      <w:pPr>
        <w:pStyle w:val="CodeBlock"/>
      </w:pPr>
      <w:r>
        <w:rPr>
          <w:rFonts w:ascii="Courier New" w:hAnsi="Courier New"/>
          <w:sz w:val="18"/>
        </w:rPr>
        <w:t xml:space="preserve">        ↓</w:t>
      </w:r>
    </w:p>
    <w:p>
      <w:pPr>
        <w:pStyle w:val="CodeBlock"/>
      </w:pPr>
      <w:r>
        <w:rPr>
          <w:rFonts w:ascii="Courier New" w:hAnsi="Courier New"/>
          <w:sz w:val="18"/>
        </w:rPr>
        <w:t>Conceptual Experiment</w:t>
      </w:r>
    </w:p>
    <w:p>
      <w:pPr>
        <w:pStyle w:val="CodeBlock"/>
      </w:pPr>
      <w:r>
        <w:rPr>
          <w:rFonts w:ascii="Courier New" w:hAnsi="Courier New"/>
          <w:sz w:val="18"/>
        </w:rPr>
        <w:t xml:space="preserve">        ↓</w:t>
      </w:r>
    </w:p>
    <w:p>
      <w:pPr>
        <w:pStyle w:val="CodeBlock"/>
      </w:pPr>
      <w:r>
        <w:rPr>
          <w:rFonts w:ascii="Courier New" w:hAnsi="Courier New"/>
          <w:sz w:val="18"/>
        </w:rPr>
        <w:t>Article 7 Safety Check</w:t>
      </w:r>
    </w:p>
    <w:p>
      <w:pPr>
        <w:pStyle w:val="CodeBlock"/>
      </w:pPr>
      <w:r>
        <w:rPr>
          <w:rFonts w:ascii="Courier New" w:hAnsi="Courier New"/>
          <w:sz w:val="18"/>
        </w:rPr>
        <w:t xml:space="preserve">        ↓</w:t>
      </w:r>
    </w:p>
    <w:p>
      <w:pPr>
        <w:pStyle w:val="CodeBlock"/>
      </w:pPr>
      <w:r>
        <w:rPr>
          <w:rFonts w:ascii="Courier New" w:hAnsi="Courier New"/>
          <w:sz w:val="18"/>
        </w:rPr>
        <w:t>Research Interpretation</w:t>
      </w:r>
    </w:p>
    <w:p>
      <w:r>
        <w:t>This prevents the system from forcing a conclusion before identifying where the flow is stuck.</w:t>
      </w:r>
    </w:p>
    <w:p>
      <w:pPr>
        <w:pStyle w:val="Heading1"/>
      </w:pPr>
      <w:r>
        <w:t>4. Experiment 1: Autism / Neurodevelopmental Coherence Model</w:t>
      </w:r>
    </w:p>
    <w:p>
      <w:pPr>
        <w:pStyle w:val="Heading2"/>
      </w:pPr>
      <w:r>
        <w:t>4.1 Paradox Statement</w:t>
      </w:r>
    </w:p>
    <w:p>
      <w:pPr>
        <w:spacing w:before="60" w:after="80"/>
        <w:ind w:left="504" w:right="288"/>
      </w:pPr>
      <w:r>
        <w:rPr>
          <w:i/>
          <w:color w:val="375573"/>
          <w:sz w:val="22"/>
        </w:rPr>
        <w:t>"How can the same external world appear manageable for one developing nervous system, while another system experiences sensory overload, communication strain, social-processing difficulty, or protected withdrawal?"</w:t>
      </w:r>
    </w:p>
    <w:p>
      <w:r>
        <w:t>The first conceptual experiment examines autism-related neurodevelopmental mechanisms through the NOVA Q / EIT 11D Framework.</w:t>
      </w:r>
    </w:p>
    <w:p>
      <w:r>
        <w:t>In this model, the paradox is not framed as a defect of the child. Instead, it is framed as a mismatch between incoming sensory and social information, internal neural amplification, integration capacity, coherence stability, environmental load, and protective compensation.</w:t>
      </w:r>
    </w:p>
    <w:p>
      <w:r>
        <w:t>The EIT interpretation does not claim that autism is caused by one region, one pathway, one lesion, or one failure point. Instead, it treats autism-related differences as a complex neurodevelopmental configuration where sensory input, neural translation, network integration, coherence, and compensation may interact in non-linear ways.</w:t>
      </w:r>
    </w:p>
    <w:p>
      <w:pPr>
        <w:pStyle w:val="CodeBlock"/>
      </w:pPr>
      <w:r>
        <w:rPr>
          <w:rFonts w:ascii="Courier New" w:hAnsi="Courier New"/>
          <w:sz w:val="18"/>
        </w:rPr>
        <w:t>Same external world</w:t>
      </w:r>
    </w:p>
    <w:p>
      <w:pPr>
        <w:pStyle w:val="CodeBlock"/>
      </w:pPr>
      <w:r>
        <w:rPr>
          <w:rFonts w:ascii="Courier New" w:hAnsi="Courier New"/>
          <w:sz w:val="18"/>
        </w:rPr>
        <w:t xml:space="preserve">        ≠</w:t>
      </w:r>
    </w:p>
    <w:p>
      <w:pPr>
        <w:pStyle w:val="CodeBlock"/>
      </w:pPr>
      <w:r>
        <w:rPr>
          <w:rFonts w:ascii="Courier New" w:hAnsi="Courier New"/>
          <w:sz w:val="18"/>
        </w:rPr>
        <w:t>same internal load</w:t>
      </w:r>
    </w:p>
    <w:p>
      <w:pPr>
        <w:pStyle w:val="CodeBlock"/>
      </w:pPr>
      <w:r>
        <w:rPr>
          <w:rFonts w:ascii="Courier New" w:hAnsi="Courier New"/>
          <w:sz w:val="18"/>
        </w:rPr>
      </w:r>
    </w:p>
    <w:p>
      <w:pPr>
        <w:pStyle w:val="CodeBlock"/>
      </w:pPr>
      <w:r>
        <w:rPr>
          <w:rFonts w:ascii="Courier New" w:hAnsi="Courier New"/>
          <w:sz w:val="18"/>
        </w:rPr>
        <w:t>sensory input → neural amplification → network integration → coherence load → protected communication</w:t>
      </w:r>
    </w:p>
    <w:p>
      <w:pPr>
        <w:pStyle w:val="Heading2"/>
      </w:pPr>
      <w:r>
        <w:t>4.2 Public Information Layer</w:t>
      </w:r>
    </w:p>
    <w:p>
      <w:r>
        <w:t>Autism spectrum disorder is described by public health and medical sources as a developmental condition involving differences or challenges in social communication and interaction, restricted or repetitive behaviors or interests, and differences in learning, movement, attention, or sensory processing (Centers for Disease Control and Prevention, 2024).</w:t>
      </w:r>
    </w:p>
    <w:p>
      <w:r>
        <w:t>The National Institute of Mental Health describes autism spectrum disorder as a neurological and developmental disorder affecting how people interact with others, communicate, learn, and behave. It also notes that sensory issues, repetitive behaviors, and restricted interests are common areas considered in evaluation (National Institute of Mental Health, n.d.).</w:t>
      </w:r>
    </w:p>
    <w:p>
      <w:r>
        <w:t>Current public scientific understanding does not support a single-cause explanation for autism. Research commonly describes autism as involving complex interactions among genetic, developmental, environmental, and neurobiological factors.</w:t>
      </w:r>
    </w:p>
    <w:p>
      <w:r>
        <w:t>The Intense World Theory is one conceptual neuroscience hypothesis that proposes hyper-reactivity and hyper-plasticity of local neural microcircuits as a possible explanation for intense perception, attention, and memory in some autism-related profiles (Markram et al., 2007; Markram &amp; Markram, 2010). This paper does not adopt that theory as proof, but uses it as one public-information reference point for thinking about overload, amplification, and coherence stress.</w:t>
      </w:r>
    </w:p>
    <w:p>
      <w:r>
        <w:t>Within NOVA Q / EIT, these public information points are not treated as final answers. They become the public layer from which blockage-point analysis begins.</w:t>
      </w:r>
    </w:p>
    <w:p>
      <w:pPr>
        <w:pStyle w:val="Heading2"/>
      </w:pPr>
      <w:r>
        <w:t>4.3 Blockage Point Identification</w:t>
      </w:r>
    </w:p>
    <w:p>
      <w:pPr>
        <w:spacing w:before="60" w:after="80"/>
        <w:ind w:left="504" w:right="288"/>
      </w:pPr>
      <w:r>
        <w:rPr>
          <w:i/>
          <w:color w:val="375573"/>
          <w:sz w:val="22"/>
        </w:rPr>
        <w:t>"Input intensity exceeds coherence translation capacity."</w:t>
      </w:r>
    </w:p>
    <w:p>
      <w:r>
        <w:t>This does not mean that the child is broken. It means the system may be receiving, amplifying, filtering, integrating, or protecting information differently.</w:t>
      </w:r>
    </w:p>
    <w:p>
      <w:pPr>
        <w:pStyle w:val="CodeBlock"/>
      </w:pPr>
      <w:r>
        <w:rPr>
          <w:rFonts w:ascii="Courier New" w:hAnsi="Courier New"/>
          <w:sz w:val="18"/>
        </w:rPr>
        <w:t>D2 sensory / social input</w:t>
      </w:r>
    </w:p>
    <w:p>
      <w:pPr>
        <w:pStyle w:val="CodeBlock"/>
      </w:pPr>
      <w:r>
        <w:rPr>
          <w:rFonts w:ascii="Courier New" w:hAnsi="Courier New"/>
          <w:sz w:val="18"/>
        </w:rPr>
        <w:t xml:space="preserve">        ↓</w:t>
      </w:r>
    </w:p>
    <w:p>
      <w:pPr>
        <w:pStyle w:val="CodeBlock"/>
      </w:pPr>
      <w:r>
        <w:rPr>
          <w:rFonts w:ascii="Courier New" w:hAnsi="Courier New"/>
          <w:sz w:val="18"/>
        </w:rPr>
        <w:t>D3 signal translation</w:t>
      </w:r>
    </w:p>
    <w:p>
      <w:pPr>
        <w:pStyle w:val="CodeBlock"/>
      </w:pPr>
      <w:r>
        <w:rPr>
          <w:rFonts w:ascii="Courier New" w:hAnsi="Courier New"/>
          <w:sz w:val="18"/>
        </w:rPr>
        <w:t xml:space="preserve">        ↓</w:t>
      </w:r>
    </w:p>
    <w:p>
      <w:pPr>
        <w:pStyle w:val="CodeBlock"/>
      </w:pPr>
      <w:r>
        <w:rPr>
          <w:rFonts w:ascii="Courier New" w:hAnsi="Courier New"/>
          <w:sz w:val="18"/>
        </w:rPr>
        <w:t>D4 network integration</w:t>
      </w:r>
    </w:p>
    <w:p>
      <w:pPr>
        <w:pStyle w:val="CodeBlock"/>
      </w:pPr>
      <w:r>
        <w:rPr>
          <w:rFonts w:ascii="Courier New" w:hAnsi="Courier New"/>
          <w:sz w:val="18"/>
        </w:rPr>
        <w:t xml:space="preserve">        ↓</w:t>
      </w:r>
    </w:p>
    <w:p>
      <w:pPr>
        <w:pStyle w:val="CodeBlock"/>
      </w:pPr>
      <w:r>
        <w:rPr>
          <w:rFonts w:ascii="Courier New" w:hAnsi="Courier New"/>
          <w:sz w:val="18"/>
        </w:rPr>
        <w:t>D5 coherence load</w:t>
      </w:r>
    </w:p>
    <w:p>
      <w:pPr>
        <w:pStyle w:val="CodeBlock"/>
      </w:pPr>
      <w:r>
        <w:rPr>
          <w:rFonts w:ascii="Courier New" w:hAnsi="Courier New"/>
          <w:sz w:val="18"/>
        </w:rPr>
        <w:t xml:space="preserve">        ↓</w:t>
      </w:r>
    </w:p>
    <w:p>
      <w:pPr>
        <w:pStyle w:val="CodeBlock"/>
      </w:pPr>
      <w:r>
        <w:rPr>
          <w:rFonts w:ascii="Courier New" w:hAnsi="Courier New"/>
          <w:sz w:val="18"/>
        </w:rPr>
        <w:t>D6 protected compensation</w:t>
      </w:r>
    </w:p>
    <w:p>
      <w:r>
        <w:t>When input becomes too intense, too fast, too unpredictable, or too poorly matched to the system's current regulation capacity, the system may respond through protective strategies such as withdrawal, repetitive regulation, reduced eye contact, delayed response, intense focus, sensory avoidance, sensory seeking, or communication differences. In the EIT model, these are not automatically treated as failures. They may represent compensation attempts within a high-load coherence system.</w:t>
      </w:r>
    </w:p>
    <w:p>
      <w:pPr>
        <w:pStyle w:val="Heading2"/>
      </w:pPr>
      <w:r>
        <w:t>4.4 D1-D11 Applied Mapping</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D-Layer</w:t>
            </w:r>
          </w:p>
        </w:tc>
        <w:tc>
          <w:tcPr>
            <w:tcW w:type="dxa" w:w="4896"/>
            <w:vAlign w:val="top"/>
            <w:shd w:fill="D9EAF7"/>
          </w:tcPr>
          <w:p>
            <w:r>
              <w:rPr>
                <w:sz w:val="16"/>
              </w:rPr>
            </w:r>
            <w:r>
              <w:rPr>
                <w:rFonts w:ascii="Times New Roman" w:hAnsi="Times New Roman"/>
                <w:b/>
                <w:sz w:val="16"/>
              </w:rPr>
              <w:t>Autism / Neurodevelopmental Coherence Application</w:t>
            </w:r>
          </w:p>
        </w:tc>
      </w:tr>
      <w:tr>
        <w:tc>
          <w:tcPr>
            <w:tcW w:type="dxa" w:w="4896"/>
            <w:vAlign w:val="top"/>
          </w:tcPr>
          <w:p>
            <w:r>
              <w:rPr>
                <w:sz w:val="16"/>
              </w:rPr>
            </w:r>
            <w:r>
              <w:rPr>
                <w:rFonts w:ascii="Times New Roman" w:hAnsi="Times New Roman"/>
                <w:b w:val="0"/>
                <w:sz w:val="16"/>
              </w:rPr>
              <w:t>D1 Structural Substrate</w:t>
            </w:r>
          </w:p>
        </w:tc>
        <w:tc>
          <w:tcPr>
            <w:tcW w:type="dxa" w:w="4896"/>
            <w:vAlign w:val="top"/>
          </w:tcPr>
          <w:p>
            <w:r>
              <w:rPr>
                <w:sz w:val="16"/>
              </w:rPr>
            </w:r>
            <w:r>
              <w:rPr>
                <w:rFonts w:ascii="Times New Roman" w:hAnsi="Times New Roman"/>
                <w:b w:val="0"/>
                <w:sz w:val="16"/>
              </w:rPr>
              <w:t>Brain regions, sensory systems, neural pathways, developmental anatomy</w:t>
            </w:r>
          </w:p>
        </w:tc>
      </w:tr>
      <w:tr>
        <w:tc>
          <w:tcPr>
            <w:tcW w:type="dxa" w:w="4896"/>
            <w:vAlign w:val="top"/>
          </w:tcPr>
          <w:p>
            <w:r>
              <w:rPr>
                <w:sz w:val="16"/>
              </w:rPr>
            </w:r>
            <w:r>
              <w:rPr>
                <w:rFonts w:ascii="Times New Roman" w:hAnsi="Times New Roman"/>
                <w:b w:val="0"/>
                <w:sz w:val="16"/>
              </w:rPr>
              <w:t>D2 Sensory / Input</w:t>
            </w:r>
          </w:p>
        </w:tc>
        <w:tc>
          <w:tcPr>
            <w:tcW w:type="dxa" w:w="4896"/>
            <w:vAlign w:val="top"/>
          </w:tcPr>
          <w:p>
            <w:r>
              <w:rPr>
                <w:sz w:val="16"/>
              </w:rPr>
            </w:r>
            <w:r>
              <w:rPr>
                <w:rFonts w:ascii="Times New Roman" w:hAnsi="Times New Roman"/>
                <w:b w:val="0"/>
                <w:sz w:val="16"/>
              </w:rPr>
              <w:t>Sound, light, touch, social cues, language, environmental stimuli</w:t>
            </w:r>
          </w:p>
        </w:tc>
      </w:tr>
      <w:tr>
        <w:tc>
          <w:tcPr>
            <w:tcW w:type="dxa" w:w="4896"/>
            <w:vAlign w:val="top"/>
          </w:tcPr>
          <w:p>
            <w:r>
              <w:rPr>
                <w:sz w:val="16"/>
              </w:rPr>
            </w:r>
            <w:r>
              <w:rPr>
                <w:rFonts w:ascii="Times New Roman" w:hAnsi="Times New Roman"/>
                <w:b w:val="0"/>
                <w:sz w:val="16"/>
              </w:rPr>
              <w:t>D3 Signal Translation</w:t>
            </w:r>
          </w:p>
        </w:tc>
        <w:tc>
          <w:tcPr>
            <w:tcW w:type="dxa" w:w="4896"/>
            <w:vAlign w:val="top"/>
          </w:tcPr>
          <w:p>
            <w:r>
              <w:rPr>
                <w:sz w:val="16"/>
              </w:rPr>
            </w:r>
            <w:r>
              <w:rPr>
                <w:rFonts w:ascii="Times New Roman" w:hAnsi="Times New Roman"/>
                <w:b w:val="0"/>
                <w:sz w:val="16"/>
              </w:rPr>
              <w:t>Sensory and social signals may be amplified, filtered, delayed, or interpreted differently</w:t>
            </w:r>
          </w:p>
        </w:tc>
      </w:tr>
      <w:tr>
        <w:tc>
          <w:tcPr>
            <w:tcW w:type="dxa" w:w="4896"/>
            <w:vAlign w:val="top"/>
          </w:tcPr>
          <w:p>
            <w:r>
              <w:rPr>
                <w:sz w:val="16"/>
              </w:rPr>
            </w:r>
            <w:r>
              <w:rPr>
                <w:rFonts w:ascii="Times New Roman" w:hAnsi="Times New Roman"/>
                <w:b w:val="0"/>
                <w:sz w:val="16"/>
              </w:rPr>
              <w:t>D4 Network Integration</w:t>
            </w:r>
          </w:p>
        </w:tc>
        <w:tc>
          <w:tcPr>
            <w:tcW w:type="dxa" w:w="4896"/>
            <w:vAlign w:val="top"/>
          </w:tcPr>
          <w:p>
            <w:r>
              <w:rPr>
                <w:sz w:val="16"/>
              </w:rPr>
            </w:r>
            <w:r>
              <w:rPr>
                <w:rFonts w:ascii="Times New Roman" w:hAnsi="Times New Roman"/>
                <w:b w:val="0"/>
                <w:sz w:val="16"/>
              </w:rPr>
              <w:t>Sensory, emotional, motor, communication, and social networks may integrate with different timing or load</w:t>
            </w:r>
          </w:p>
        </w:tc>
      </w:tr>
      <w:tr>
        <w:tc>
          <w:tcPr>
            <w:tcW w:type="dxa" w:w="4896"/>
            <w:vAlign w:val="top"/>
          </w:tcPr>
          <w:p>
            <w:r>
              <w:rPr>
                <w:sz w:val="16"/>
              </w:rPr>
            </w:r>
            <w:r>
              <w:rPr>
                <w:rFonts w:ascii="Times New Roman" w:hAnsi="Times New Roman"/>
                <w:b w:val="0"/>
                <w:sz w:val="16"/>
              </w:rPr>
              <w:t>D5 Coherence</w:t>
            </w:r>
          </w:p>
        </w:tc>
        <w:tc>
          <w:tcPr>
            <w:tcW w:type="dxa" w:w="4896"/>
            <w:vAlign w:val="top"/>
          </w:tcPr>
          <w:p>
            <w:r>
              <w:rPr>
                <w:sz w:val="16"/>
              </w:rPr>
            </w:r>
            <w:r>
              <w:rPr>
                <w:rFonts w:ascii="Times New Roman" w:hAnsi="Times New Roman"/>
                <w:b w:val="0"/>
                <w:sz w:val="16"/>
              </w:rPr>
              <w:t>Coherence overload may occur when input intensity exceeds integration capacity</w:t>
            </w:r>
          </w:p>
        </w:tc>
      </w:tr>
      <w:tr>
        <w:tc>
          <w:tcPr>
            <w:tcW w:type="dxa" w:w="4896"/>
            <w:vAlign w:val="top"/>
          </w:tcPr>
          <w:p>
            <w:r>
              <w:rPr>
                <w:sz w:val="16"/>
              </w:rPr>
            </w:r>
            <w:r>
              <w:rPr>
                <w:rFonts w:ascii="Times New Roman" w:hAnsi="Times New Roman"/>
                <w:b w:val="0"/>
                <w:sz w:val="16"/>
              </w:rPr>
              <w:t>D6 Compensation / Reserve</w:t>
            </w:r>
          </w:p>
        </w:tc>
        <w:tc>
          <w:tcPr>
            <w:tcW w:type="dxa" w:w="4896"/>
            <w:vAlign w:val="top"/>
          </w:tcPr>
          <w:p>
            <w:r>
              <w:rPr>
                <w:sz w:val="16"/>
              </w:rPr>
            </w:r>
            <w:r>
              <w:rPr>
                <w:rFonts w:ascii="Times New Roman" w:hAnsi="Times New Roman"/>
                <w:b w:val="0"/>
                <w:sz w:val="16"/>
              </w:rPr>
              <w:t>Protected communication, repetition, withdrawal, or focused interests may function as regulatory compensation</w:t>
            </w:r>
          </w:p>
        </w:tc>
      </w:tr>
      <w:tr>
        <w:tc>
          <w:tcPr>
            <w:tcW w:type="dxa" w:w="4896"/>
            <w:vAlign w:val="top"/>
          </w:tcPr>
          <w:p>
            <w:r>
              <w:rPr>
                <w:sz w:val="16"/>
              </w:rPr>
            </w:r>
            <w:r>
              <w:rPr>
                <w:rFonts w:ascii="Times New Roman" w:hAnsi="Times New Roman"/>
                <w:b w:val="0"/>
                <w:sz w:val="16"/>
              </w:rPr>
              <w:t>D7 Environment / Context</w:t>
            </w:r>
          </w:p>
        </w:tc>
        <w:tc>
          <w:tcPr>
            <w:tcW w:type="dxa" w:w="4896"/>
            <w:vAlign w:val="top"/>
          </w:tcPr>
          <w:p>
            <w:r>
              <w:rPr>
                <w:sz w:val="16"/>
              </w:rPr>
            </w:r>
            <w:r>
              <w:rPr>
                <w:rFonts w:ascii="Times New Roman" w:hAnsi="Times New Roman"/>
                <w:b w:val="0"/>
                <w:sz w:val="16"/>
              </w:rPr>
              <w:t>Environment may reduce or increase sensory load, predictability, communication demand, and regulation stress</w:t>
            </w:r>
          </w:p>
        </w:tc>
      </w:tr>
      <w:tr>
        <w:tc>
          <w:tcPr>
            <w:tcW w:type="dxa" w:w="4896"/>
            <w:vAlign w:val="top"/>
          </w:tcPr>
          <w:p>
            <w:r>
              <w:rPr>
                <w:sz w:val="16"/>
              </w:rPr>
            </w:r>
            <w:r>
              <w:rPr>
                <w:rFonts w:ascii="Times New Roman" w:hAnsi="Times New Roman"/>
                <w:b w:val="0"/>
                <w:sz w:val="16"/>
              </w:rPr>
              <w:t>D8 Temporal Development</w:t>
            </w:r>
          </w:p>
        </w:tc>
        <w:tc>
          <w:tcPr>
            <w:tcW w:type="dxa" w:w="4896"/>
            <w:vAlign w:val="top"/>
          </w:tcPr>
          <w:p>
            <w:r>
              <w:rPr>
                <w:sz w:val="16"/>
              </w:rPr>
            </w:r>
            <w:r>
              <w:rPr>
                <w:rFonts w:ascii="Times New Roman" w:hAnsi="Times New Roman"/>
                <w:b w:val="0"/>
                <w:sz w:val="16"/>
              </w:rPr>
              <w:t>Developmental timing may shape how sensory, social, and communication pathways organize</w:t>
            </w:r>
          </w:p>
        </w:tc>
      </w:tr>
      <w:tr>
        <w:tc>
          <w:tcPr>
            <w:tcW w:type="dxa" w:w="4896"/>
            <w:vAlign w:val="top"/>
          </w:tcPr>
          <w:p>
            <w:r>
              <w:rPr>
                <w:sz w:val="16"/>
              </w:rPr>
            </w:r>
            <w:r>
              <w:rPr>
                <w:rFonts w:ascii="Times New Roman" w:hAnsi="Times New Roman"/>
                <w:b w:val="0"/>
                <w:sz w:val="16"/>
              </w:rPr>
              <w:t>D9 Identity / Meaning</w:t>
            </w:r>
          </w:p>
        </w:tc>
        <w:tc>
          <w:tcPr>
            <w:tcW w:type="dxa" w:w="4896"/>
            <w:vAlign w:val="top"/>
          </w:tcPr>
          <w:p>
            <w:r>
              <w:rPr>
                <w:sz w:val="16"/>
              </w:rPr>
            </w:r>
            <w:r>
              <w:rPr>
                <w:rFonts w:ascii="Times New Roman" w:hAnsi="Times New Roman"/>
                <w:b w:val="0"/>
                <w:sz w:val="16"/>
              </w:rPr>
              <w:t>Communication difference does not erase personhood, intelligence, meaning, or internal experience</w:t>
            </w:r>
          </w:p>
        </w:tc>
      </w:tr>
      <w:tr>
        <w:tc>
          <w:tcPr>
            <w:tcW w:type="dxa" w:w="4896"/>
            <w:vAlign w:val="top"/>
          </w:tcPr>
          <w:p>
            <w:r>
              <w:rPr>
                <w:sz w:val="16"/>
              </w:rPr>
            </w:r>
            <w:r>
              <w:rPr>
                <w:rFonts w:ascii="Times New Roman" w:hAnsi="Times New Roman"/>
                <w:b w:val="0"/>
                <w:sz w:val="16"/>
              </w:rPr>
              <w:t>D10 Safety / Boundary</w:t>
            </w:r>
          </w:p>
        </w:tc>
        <w:tc>
          <w:tcPr>
            <w:tcW w:type="dxa" w:w="4896"/>
            <w:vAlign w:val="top"/>
          </w:tcPr>
          <w:p>
            <w:r>
              <w:rPr>
                <w:sz w:val="16"/>
              </w:rPr>
            </w:r>
            <w:r>
              <w:rPr>
                <w:rFonts w:ascii="Times New Roman" w:hAnsi="Times New Roman"/>
                <w:b w:val="0"/>
                <w:sz w:val="16"/>
              </w:rPr>
              <w:t>No diagnosis, no treatment, no cure claim, no deficit framing</w:t>
            </w:r>
          </w:p>
        </w:tc>
      </w:tr>
      <w:tr>
        <w:tc>
          <w:tcPr>
            <w:tcW w:type="dxa" w:w="4896"/>
            <w:vAlign w:val="top"/>
          </w:tcPr>
          <w:p>
            <w:r>
              <w:rPr>
                <w:sz w:val="16"/>
              </w:rPr>
            </w:r>
            <w:r>
              <w:rPr>
                <w:rFonts w:ascii="Times New Roman" w:hAnsi="Times New Roman"/>
                <w:b w:val="0"/>
                <w:sz w:val="16"/>
              </w:rPr>
              <w:t>D11 Research Output</w:t>
            </w:r>
          </w:p>
        </w:tc>
        <w:tc>
          <w:tcPr>
            <w:tcW w:type="dxa" w:w="4896"/>
            <w:vAlign w:val="top"/>
          </w:tcPr>
          <w:p>
            <w:r>
              <w:rPr>
                <w:sz w:val="16"/>
              </w:rPr>
            </w:r>
            <w:r>
              <w:rPr>
                <w:rFonts w:ascii="Times New Roman" w:hAnsi="Times New Roman"/>
                <w:b w:val="0"/>
                <w:sz w:val="16"/>
              </w:rPr>
              <w:t>Neurodevelopmental coherence map for conceptual analysis</w:t>
            </w:r>
          </w:p>
        </w:tc>
      </w:tr>
    </w:tbl>
    <w:p>
      <w:pPr>
        <w:pStyle w:val="Heading2"/>
      </w:pPr>
      <w:r>
        <w:t>4.5 Conceptual Experiment</w:t>
      </w:r>
    </w:p>
    <w:p>
      <w:r>
        <w:t>Experiment Name: Autism / Neurodevelopmental Coherence Experiment</w:t>
      </w:r>
    </w:p>
    <w:p>
      <w:r>
        <w:t>Experiment Question: Can autism-related sensory and communication differences be modeled as a coherence-load paradox rather than as a simple behavioral-output problem?</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Variable</w:t>
            </w:r>
          </w:p>
        </w:tc>
        <w:tc>
          <w:tcPr>
            <w:tcW w:type="dxa" w:w="4896"/>
            <w:vAlign w:val="top"/>
            <w:shd w:fill="D9EAF7"/>
          </w:tcPr>
          <w:p>
            <w:r>
              <w:rPr>
                <w:sz w:val="16"/>
              </w:rPr>
            </w:r>
            <w:r>
              <w:rPr>
                <w:rFonts w:ascii="Times New Roman" w:hAnsi="Times New Roman"/>
                <w:b/>
                <w:sz w:val="16"/>
              </w:rPr>
              <w:t>Description</w:t>
            </w:r>
          </w:p>
        </w:tc>
      </w:tr>
      <w:tr>
        <w:tc>
          <w:tcPr>
            <w:tcW w:type="dxa" w:w="4896"/>
            <w:vAlign w:val="top"/>
          </w:tcPr>
          <w:p>
            <w:r>
              <w:rPr>
                <w:sz w:val="16"/>
              </w:rPr>
            </w:r>
            <w:r>
              <w:rPr>
                <w:rFonts w:ascii="Times New Roman" w:hAnsi="Times New Roman"/>
                <w:b w:val="0"/>
                <w:sz w:val="16"/>
              </w:rPr>
              <w:t>S_input</w:t>
            </w:r>
          </w:p>
        </w:tc>
        <w:tc>
          <w:tcPr>
            <w:tcW w:type="dxa" w:w="4896"/>
            <w:vAlign w:val="top"/>
          </w:tcPr>
          <w:p>
            <w:r>
              <w:rPr>
                <w:sz w:val="16"/>
              </w:rPr>
            </w:r>
            <w:r>
              <w:rPr>
                <w:rFonts w:ascii="Times New Roman" w:hAnsi="Times New Roman"/>
                <w:b w:val="0"/>
                <w:sz w:val="16"/>
              </w:rPr>
              <w:t>Sensory / social input intensity</w:t>
            </w:r>
          </w:p>
        </w:tc>
      </w:tr>
      <w:tr>
        <w:tc>
          <w:tcPr>
            <w:tcW w:type="dxa" w:w="4896"/>
            <w:vAlign w:val="top"/>
          </w:tcPr>
          <w:p>
            <w:r>
              <w:rPr>
                <w:sz w:val="16"/>
              </w:rPr>
            </w:r>
            <w:r>
              <w:rPr>
                <w:rFonts w:ascii="Times New Roman" w:hAnsi="Times New Roman"/>
                <w:b w:val="0"/>
                <w:sz w:val="16"/>
              </w:rPr>
              <w:t>A_neural</w:t>
            </w:r>
          </w:p>
        </w:tc>
        <w:tc>
          <w:tcPr>
            <w:tcW w:type="dxa" w:w="4896"/>
            <w:vAlign w:val="top"/>
          </w:tcPr>
          <w:p>
            <w:r>
              <w:rPr>
                <w:sz w:val="16"/>
              </w:rPr>
            </w:r>
            <w:r>
              <w:rPr>
                <w:rFonts w:ascii="Times New Roman" w:hAnsi="Times New Roman"/>
                <w:b w:val="0"/>
                <w:sz w:val="16"/>
              </w:rPr>
              <w:t>Neural amplification level</w:t>
            </w:r>
          </w:p>
        </w:tc>
      </w:tr>
      <w:tr>
        <w:tc>
          <w:tcPr>
            <w:tcW w:type="dxa" w:w="4896"/>
            <w:vAlign w:val="top"/>
          </w:tcPr>
          <w:p>
            <w:r>
              <w:rPr>
                <w:sz w:val="16"/>
              </w:rPr>
            </w:r>
            <w:r>
              <w:rPr>
                <w:rFonts w:ascii="Times New Roman" w:hAnsi="Times New Roman"/>
                <w:b w:val="0"/>
                <w:sz w:val="16"/>
              </w:rPr>
              <w:t>F_filter</w:t>
            </w:r>
          </w:p>
        </w:tc>
        <w:tc>
          <w:tcPr>
            <w:tcW w:type="dxa" w:w="4896"/>
            <w:vAlign w:val="top"/>
          </w:tcPr>
          <w:p>
            <w:r>
              <w:rPr>
                <w:sz w:val="16"/>
              </w:rPr>
            </w:r>
            <w:r>
              <w:rPr>
                <w:rFonts w:ascii="Times New Roman" w:hAnsi="Times New Roman"/>
                <w:b w:val="0"/>
                <w:sz w:val="16"/>
              </w:rPr>
              <w:t>Filtering / modulation capacity</w:t>
            </w:r>
          </w:p>
        </w:tc>
      </w:tr>
      <w:tr>
        <w:tc>
          <w:tcPr>
            <w:tcW w:type="dxa" w:w="4896"/>
            <w:vAlign w:val="top"/>
          </w:tcPr>
          <w:p>
            <w:r>
              <w:rPr>
                <w:sz w:val="16"/>
              </w:rPr>
            </w:r>
            <w:r>
              <w:rPr>
                <w:rFonts w:ascii="Times New Roman" w:hAnsi="Times New Roman"/>
                <w:b w:val="0"/>
                <w:sz w:val="16"/>
              </w:rPr>
              <w:t>N_integration</w:t>
            </w:r>
          </w:p>
        </w:tc>
        <w:tc>
          <w:tcPr>
            <w:tcW w:type="dxa" w:w="4896"/>
            <w:vAlign w:val="top"/>
          </w:tcPr>
          <w:p>
            <w:r>
              <w:rPr>
                <w:sz w:val="16"/>
              </w:rPr>
            </w:r>
            <w:r>
              <w:rPr>
                <w:rFonts w:ascii="Times New Roman" w:hAnsi="Times New Roman"/>
                <w:b w:val="0"/>
                <w:sz w:val="16"/>
              </w:rPr>
              <w:t>Network integration capacity</w:t>
            </w:r>
          </w:p>
        </w:tc>
      </w:tr>
      <w:tr>
        <w:tc>
          <w:tcPr>
            <w:tcW w:type="dxa" w:w="4896"/>
            <w:vAlign w:val="top"/>
          </w:tcPr>
          <w:p>
            <w:r>
              <w:rPr>
                <w:sz w:val="16"/>
              </w:rPr>
            </w:r>
            <w:r>
              <w:rPr>
                <w:rFonts w:ascii="Times New Roman" w:hAnsi="Times New Roman"/>
                <w:b w:val="0"/>
                <w:sz w:val="16"/>
              </w:rPr>
              <w:t>C_coherence</w:t>
            </w:r>
          </w:p>
        </w:tc>
        <w:tc>
          <w:tcPr>
            <w:tcW w:type="dxa" w:w="4896"/>
            <w:vAlign w:val="top"/>
          </w:tcPr>
          <w:p>
            <w:r>
              <w:rPr>
                <w:sz w:val="16"/>
              </w:rPr>
            </w:r>
            <w:r>
              <w:rPr>
                <w:rFonts w:ascii="Times New Roman" w:hAnsi="Times New Roman"/>
                <w:b w:val="0"/>
                <w:sz w:val="16"/>
              </w:rPr>
              <w:t>Internal coherence stability</w:t>
            </w:r>
          </w:p>
        </w:tc>
      </w:tr>
      <w:tr>
        <w:tc>
          <w:tcPr>
            <w:tcW w:type="dxa" w:w="4896"/>
            <w:vAlign w:val="top"/>
          </w:tcPr>
          <w:p>
            <w:r>
              <w:rPr>
                <w:sz w:val="16"/>
              </w:rPr>
            </w:r>
            <w:r>
              <w:rPr>
                <w:rFonts w:ascii="Times New Roman" w:hAnsi="Times New Roman"/>
                <w:b w:val="0"/>
                <w:sz w:val="16"/>
              </w:rPr>
              <w:t>R_reserve</w:t>
            </w:r>
          </w:p>
        </w:tc>
        <w:tc>
          <w:tcPr>
            <w:tcW w:type="dxa" w:w="4896"/>
            <w:vAlign w:val="top"/>
          </w:tcPr>
          <w:p>
            <w:r>
              <w:rPr>
                <w:sz w:val="16"/>
              </w:rPr>
            </w:r>
            <w:r>
              <w:rPr>
                <w:rFonts w:ascii="Times New Roman" w:hAnsi="Times New Roman"/>
                <w:b w:val="0"/>
                <w:sz w:val="16"/>
              </w:rPr>
              <w:t>Compensation / regulation reserve</w:t>
            </w:r>
          </w:p>
        </w:tc>
      </w:tr>
      <w:tr>
        <w:tc>
          <w:tcPr>
            <w:tcW w:type="dxa" w:w="4896"/>
            <w:vAlign w:val="top"/>
          </w:tcPr>
          <w:p>
            <w:r>
              <w:rPr>
                <w:sz w:val="16"/>
              </w:rPr>
            </w:r>
            <w:r>
              <w:rPr>
                <w:rFonts w:ascii="Times New Roman" w:hAnsi="Times New Roman"/>
                <w:b w:val="0"/>
                <w:sz w:val="16"/>
              </w:rPr>
              <w:t>P_protection</w:t>
            </w:r>
          </w:p>
        </w:tc>
        <w:tc>
          <w:tcPr>
            <w:tcW w:type="dxa" w:w="4896"/>
            <w:vAlign w:val="top"/>
          </w:tcPr>
          <w:p>
            <w:r>
              <w:rPr>
                <w:sz w:val="16"/>
              </w:rPr>
            </w:r>
            <w:r>
              <w:rPr>
                <w:rFonts w:ascii="Times New Roman" w:hAnsi="Times New Roman"/>
                <w:b w:val="0"/>
                <w:sz w:val="16"/>
              </w:rPr>
              <w:t>Protected communication response</w:t>
            </w:r>
          </w:p>
        </w:tc>
      </w:tr>
      <w:tr>
        <w:tc>
          <w:tcPr>
            <w:tcW w:type="dxa" w:w="4896"/>
            <w:vAlign w:val="top"/>
          </w:tcPr>
          <w:p>
            <w:r>
              <w:rPr>
                <w:sz w:val="16"/>
              </w:rPr>
            </w:r>
            <w:r>
              <w:rPr>
                <w:rFonts w:ascii="Times New Roman" w:hAnsi="Times New Roman"/>
                <w:b w:val="0"/>
                <w:sz w:val="16"/>
              </w:rPr>
              <w:t>E_context</w:t>
            </w:r>
          </w:p>
        </w:tc>
        <w:tc>
          <w:tcPr>
            <w:tcW w:type="dxa" w:w="4896"/>
            <w:vAlign w:val="top"/>
          </w:tcPr>
          <w:p>
            <w:r>
              <w:rPr>
                <w:sz w:val="16"/>
              </w:rPr>
            </w:r>
            <w:r>
              <w:rPr>
                <w:rFonts w:ascii="Times New Roman" w:hAnsi="Times New Roman"/>
                <w:b w:val="0"/>
                <w:sz w:val="16"/>
              </w:rPr>
              <w:t>Environmental load or support</w:t>
            </w:r>
          </w:p>
        </w:tc>
      </w:tr>
      <w:tr>
        <w:tc>
          <w:tcPr>
            <w:tcW w:type="dxa" w:w="4896"/>
            <w:vAlign w:val="top"/>
          </w:tcPr>
          <w:p>
            <w:r>
              <w:rPr>
                <w:sz w:val="16"/>
              </w:rPr>
            </w:r>
            <w:r>
              <w:rPr>
                <w:rFonts w:ascii="Times New Roman" w:hAnsi="Times New Roman"/>
                <w:b w:val="0"/>
                <w:sz w:val="16"/>
              </w:rPr>
              <w:t>T_dev</w:t>
            </w:r>
          </w:p>
        </w:tc>
        <w:tc>
          <w:tcPr>
            <w:tcW w:type="dxa" w:w="4896"/>
            <w:vAlign w:val="top"/>
          </w:tcPr>
          <w:p>
            <w:r>
              <w:rPr>
                <w:sz w:val="16"/>
              </w:rPr>
            </w:r>
            <w:r>
              <w:rPr>
                <w:rFonts w:ascii="Times New Roman" w:hAnsi="Times New Roman"/>
                <w:b w:val="0"/>
                <w:sz w:val="16"/>
              </w:rPr>
              <w:t>Developmental timing factor</w:t>
            </w:r>
          </w:p>
        </w:tc>
      </w:tr>
      <w:tr>
        <w:tc>
          <w:tcPr>
            <w:tcW w:type="dxa" w:w="4896"/>
            <w:vAlign w:val="top"/>
          </w:tcPr>
          <w:p>
            <w:r>
              <w:rPr>
                <w:sz w:val="16"/>
              </w:rPr>
            </w:r>
            <w:r>
              <w:rPr>
                <w:rFonts w:ascii="Times New Roman" w:hAnsi="Times New Roman"/>
                <w:b w:val="0"/>
                <w:sz w:val="16"/>
              </w:rPr>
              <w:t>B_block</w:t>
            </w:r>
          </w:p>
        </w:tc>
        <w:tc>
          <w:tcPr>
            <w:tcW w:type="dxa" w:w="4896"/>
            <w:vAlign w:val="top"/>
          </w:tcPr>
          <w:p>
            <w:r>
              <w:rPr>
                <w:sz w:val="16"/>
              </w:rPr>
            </w:r>
            <w:r>
              <w:rPr>
                <w:rFonts w:ascii="Times New Roman" w:hAnsi="Times New Roman"/>
                <w:b w:val="0"/>
                <w:sz w:val="16"/>
              </w:rPr>
              <w:t>Blockage intensity</w:t>
            </w:r>
          </w:p>
        </w:tc>
      </w:tr>
    </w:tbl>
    <w:p>
      <w:pPr>
        <w:pStyle w:val="CodeBlock"/>
      </w:pPr>
      <w:r>
        <w:rPr>
          <w:rFonts w:ascii="Courier New" w:hAnsi="Courier New"/>
          <w:sz w:val="18"/>
        </w:rPr>
        <w:t>B_block = (S_input × A_neural × E_context) / (F_filter × N_integration × R_reserve)</w:t>
      </w:r>
    </w:p>
    <w:p>
      <w:r>
        <w:t>If sensory and social input intensity rises while filtering, integration, or regulation reserve is limited, blockage intensity increases. If the environment becomes more predictable, sensory load decreases, filtering improves, or regulation support increases, blockage intensity may decrease. This is not a clinical equation. It is a conceptual map for understanding where the system may be overloaded.</w:t>
      </w:r>
    </w:p>
    <w:p>
      <w:pPr>
        <w:pStyle w:val="Heading2"/>
      </w:pPr>
      <w:r>
        <w:t>4.6 Conceptual Findings</w:t>
      </w:r>
    </w:p>
    <w:p>
      <w:pPr>
        <w:pStyle w:val="ListBullet"/>
      </w:pPr>
      <w:r>
        <w:t>Same World, Different Load - The same environment may not create the same internal load across different nervous systems.</w:t>
      </w:r>
    </w:p>
    <w:p>
      <w:pPr>
        <w:pStyle w:val="ListBullet"/>
      </w:pPr>
      <w:r>
        <w:t>Behavior May Be Late-Stage Output - Visible behavior may occur after earlier sensory, neural, or coherence pressure has accumulated.</w:t>
      </w:r>
    </w:p>
    <w:p>
      <w:pPr>
        <w:pStyle w:val="ListBullet"/>
      </w:pPr>
      <w:r>
        <w:t>Protection Is Not Failure - Withdrawal, repetition, intense focus, or communication difference may function as protective compensation under high load.</w:t>
      </w:r>
    </w:p>
    <w:p>
      <w:pPr>
        <w:pStyle w:val="ListBullet"/>
      </w:pPr>
      <w:r>
        <w:t>Environment Shapes Coherence - Context, predictability, sensory demand, and communication pressure may influence coherence.</w:t>
      </w:r>
    </w:p>
    <w:p>
      <w:pPr>
        <w:pStyle w:val="ListBullet"/>
      </w:pPr>
      <w:r>
        <w:t>Personhood Remains Outside the Deficit Frame - EIT separates communication difference from intelligence, worth, identity, and meaning.</w:t>
      </w:r>
    </w:p>
    <w:p>
      <w:pPr>
        <w:pStyle w:val="Heading2"/>
      </w:pPr>
      <w:r>
        <w:t>4.7 Article 7 Safety Check</w:t>
      </w:r>
    </w:p>
    <w:p>
      <w:pPr>
        <w:pStyle w:val="ListBullet"/>
      </w:pPr>
      <w:r>
        <w:t>No diagnosis</w:t>
      </w:r>
    </w:p>
    <w:p>
      <w:pPr>
        <w:pStyle w:val="ListBullet"/>
      </w:pPr>
      <w:r>
        <w:t>No treatment</w:t>
      </w:r>
    </w:p>
    <w:p>
      <w:pPr>
        <w:pStyle w:val="ListBullet"/>
      </w:pPr>
      <w:r>
        <w:t>No cure</w:t>
      </w:r>
    </w:p>
    <w:p>
      <w:pPr>
        <w:pStyle w:val="ListBullet"/>
      </w:pPr>
      <w:r>
        <w:t>No clinical prediction</w:t>
      </w:r>
    </w:p>
    <w:p>
      <w:pPr>
        <w:pStyle w:val="ListBullet"/>
      </w:pPr>
      <w:r>
        <w:t>No replacement for professional evaluation</w:t>
      </w:r>
    </w:p>
    <w:p>
      <w:pPr>
        <w:pStyle w:val="ListBullet"/>
      </w:pPr>
      <w:r>
        <w:t>No claim that autism is caused by one pathway</w:t>
      </w:r>
    </w:p>
    <w:p>
      <w:pPr>
        <w:pStyle w:val="ListBullet"/>
      </w:pPr>
      <w:r>
        <w:t>No claim that autism should be erased</w:t>
      </w:r>
    </w:p>
    <w:p>
      <w:pPr>
        <w:pStyle w:val="ListBullet"/>
      </w:pPr>
      <w:r>
        <w:t>No deficit-only framing</w:t>
      </w:r>
    </w:p>
    <w:p>
      <w:r>
        <w:t>Any real-world medical interpretation requires independent scientific research, clinical validation, ethics review, and qualified medical involvement.</w:t>
      </w:r>
    </w:p>
    <w:p>
      <w:pPr>
        <w:pStyle w:val="Heading1"/>
      </w:pPr>
      <w:r>
        <w:t>5. Experiment 2: Multiple Sclerosis / Hidden Network Coherence Model</w:t>
      </w:r>
    </w:p>
    <w:p>
      <w:pPr>
        <w:pStyle w:val="Heading2"/>
      </w:pPr>
      <w:r>
        <w:t>5.1 Paradox Statement</w:t>
      </w:r>
    </w:p>
    <w:p>
      <w:pPr>
        <w:spacing w:before="60" w:after="80"/>
        <w:ind w:left="504" w:right="288"/>
      </w:pPr>
      <w:r>
        <w:rPr>
          <w:i/>
          <w:color w:val="375573"/>
          <w:sz w:val="22"/>
        </w:rPr>
        <w:t>"Why can visible lesion load on MRI fail to fully match functional disability, symptom severity, fatigue, cognition, or lived neurological burden?"</w:t>
      </w:r>
    </w:p>
    <w:p>
      <w:r>
        <w:t>The second conceptual experiment examines the clinico-radiological paradox in multiple sclerosis through the NOVA Q / EIT 11D Framework.</w:t>
      </w:r>
    </w:p>
    <w:p>
      <w:r>
        <w:t>In conventional terms, this paradox is often described as a mismatch between what imaging shows and what the patient experiences or demonstrates clinically (Barkhof, 2002; Hartmann et al., 2023).</w:t>
      </w:r>
    </w:p>
    <w:p>
      <w:r>
        <w:t>In the EIT model, the paradox is framed as a mismatch between visible structural lesions, hidden microstructural disruption, lesion location weight, spinal cord and optic pathway involvement, network integration loss, functional reserve, compensation capacity, temporal progression, and coherence failure.</w:t>
      </w:r>
    </w:p>
    <w:p>
      <w:pPr>
        <w:pStyle w:val="CodeBlock"/>
      </w:pPr>
      <w:r>
        <w:rPr>
          <w:rFonts w:ascii="Courier New" w:hAnsi="Courier New"/>
          <w:sz w:val="18"/>
        </w:rPr>
        <w:t>Visible lesion load</w:t>
      </w:r>
    </w:p>
    <w:p>
      <w:pPr>
        <w:pStyle w:val="CodeBlock"/>
      </w:pPr>
      <w:r>
        <w:rPr>
          <w:rFonts w:ascii="Courier New" w:hAnsi="Courier New"/>
          <w:sz w:val="18"/>
        </w:rPr>
        <w:t xml:space="preserve">        ≠</w:t>
      </w:r>
    </w:p>
    <w:p>
      <w:pPr>
        <w:pStyle w:val="CodeBlock"/>
      </w:pPr>
      <w:r>
        <w:rPr>
          <w:rFonts w:ascii="Courier New" w:hAnsi="Courier New"/>
          <w:sz w:val="18"/>
        </w:rPr>
        <w:t>complete functional disruption map</w:t>
      </w:r>
    </w:p>
    <w:p>
      <w:pPr>
        <w:pStyle w:val="Heading2"/>
      </w:pPr>
      <w:r>
        <w:t>5.2 Public Information Layer</w:t>
      </w:r>
    </w:p>
    <w:p>
      <w:r>
        <w:t>Multiple sclerosis is a chronic inflammatory and degenerative disease of the central nervous system involving demyelinating lesions in the brain and spinal cord (National Institute of Neurological Disorders and Stroke, 2025; MedlinePlus, 2026). MRI is central to MS diagnosis and monitoring, but visible lesions do not always fully explain clinical symptoms or disability.</w:t>
      </w:r>
    </w:p>
    <w:p>
      <w:r>
        <w:t>The clinico-radiological paradox has been described as a mismatch between MRI-visible lesions and clinical presentation in MS (Barkhof, 2002). Research reviews note that conventional lesion measures may not capture all clinically relevant damage, including lesion location, microstructural damage, spinal cord involvement, grey matter atrophy, network disruption, and compensatory capacity (Chard et al., 2017).</w:t>
      </w:r>
    </w:p>
    <w:p>
      <w:r>
        <w:t>Recent research also challenges an overly simple version of the paradox by emphasizing that lesion location and neurological repercussion can be logically connected. In other words, the paradox should not be interpreted as "MRI is useless," but rather as "simple lesion count or volume alone is incomplete" (Hartmann et al., 2023).</w:t>
      </w:r>
    </w:p>
    <w:p>
      <w:r>
        <w:t>Within NOVA Q / EIT, this public information layer becomes the starting point for blockage analysis: the visible lesion is D1, but the functional burden may emerge across D4, D5, D6, and D8.</w:t>
      </w:r>
    </w:p>
    <w:p>
      <w:pPr>
        <w:pStyle w:val="Heading2"/>
      </w:pPr>
      <w:r>
        <w:t>5.3 Blockage Point Identification</w:t>
      </w:r>
    </w:p>
    <w:p>
      <w:pPr>
        <w:spacing w:before="60" w:after="80"/>
        <w:ind w:left="504" w:right="288"/>
      </w:pPr>
      <w:r>
        <w:rPr>
          <w:i/>
          <w:color w:val="375573"/>
          <w:sz w:val="22"/>
        </w:rPr>
        <w:t>"Visible structural lesion mapping fails to capture hidden functional network disruption."</w:t>
      </w:r>
    </w:p>
    <w:p>
      <w:pPr>
        <w:pStyle w:val="CodeBlock"/>
      </w:pPr>
      <w:r>
        <w:rPr>
          <w:rFonts w:ascii="Courier New" w:hAnsi="Courier New"/>
          <w:sz w:val="18"/>
        </w:rPr>
        <w:t>D1 visible lesion load</w:t>
      </w:r>
    </w:p>
    <w:p>
      <w:pPr>
        <w:pStyle w:val="CodeBlock"/>
      </w:pPr>
      <w:r>
        <w:rPr>
          <w:rFonts w:ascii="Courier New" w:hAnsi="Courier New"/>
          <w:sz w:val="18"/>
        </w:rPr>
        <w:t xml:space="preserve">        ↓</w:t>
      </w:r>
    </w:p>
    <w:p>
      <w:pPr>
        <w:pStyle w:val="CodeBlock"/>
      </w:pPr>
      <w:r>
        <w:rPr>
          <w:rFonts w:ascii="Courier New" w:hAnsi="Courier New"/>
          <w:sz w:val="18"/>
        </w:rPr>
        <w:t>D3 signal disruption</w:t>
      </w:r>
    </w:p>
    <w:p>
      <w:pPr>
        <w:pStyle w:val="CodeBlock"/>
      </w:pPr>
      <w:r>
        <w:rPr>
          <w:rFonts w:ascii="Courier New" w:hAnsi="Courier New"/>
          <w:sz w:val="18"/>
        </w:rPr>
        <w:t xml:space="preserve">        ↓</w:t>
      </w:r>
    </w:p>
    <w:p>
      <w:pPr>
        <w:pStyle w:val="CodeBlock"/>
      </w:pPr>
      <w:r>
        <w:rPr>
          <w:rFonts w:ascii="Courier New" w:hAnsi="Courier New"/>
          <w:sz w:val="18"/>
        </w:rPr>
        <w:t>D4 network integration disturbance</w:t>
      </w:r>
    </w:p>
    <w:p>
      <w:pPr>
        <w:pStyle w:val="CodeBlock"/>
      </w:pPr>
      <w:r>
        <w:rPr>
          <w:rFonts w:ascii="Courier New" w:hAnsi="Courier New"/>
          <w:sz w:val="18"/>
        </w:rPr>
        <w:t xml:space="preserve">        ↓</w:t>
      </w:r>
    </w:p>
    <w:p>
      <w:pPr>
        <w:pStyle w:val="CodeBlock"/>
      </w:pPr>
      <w:r>
        <w:rPr>
          <w:rFonts w:ascii="Courier New" w:hAnsi="Courier New"/>
          <w:sz w:val="18"/>
        </w:rPr>
        <w:t>D5 coherence loss</w:t>
      </w:r>
    </w:p>
    <w:p>
      <w:pPr>
        <w:pStyle w:val="CodeBlock"/>
      </w:pPr>
      <w:r>
        <w:rPr>
          <w:rFonts w:ascii="Courier New" w:hAnsi="Courier New"/>
          <w:sz w:val="18"/>
        </w:rPr>
        <w:t xml:space="preserve">        ↓</w:t>
      </w:r>
    </w:p>
    <w:p>
      <w:pPr>
        <w:pStyle w:val="CodeBlock"/>
      </w:pPr>
      <w:r>
        <w:rPr>
          <w:rFonts w:ascii="Courier New" w:hAnsi="Courier New"/>
          <w:sz w:val="18"/>
        </w:rPr>
        <w:t>D6 compensation / reserve masking</w:t>
      </w:r>
    </w:p>
    <w:p>
      <w:pPr>
        <w:pStyle w:val="CodeBlock"/>
      </w:pPr>
      <w:r>
        <w:rPr>
          <w:rFonts w:ascii="Courier New" w:hAnsi="Courier New"/>
          <w:sz w:val="18"/>
        </w:rPr>
        <w:t xml:space="preserve">        ↓</w:t>
      </w:r>
    </w:p>
    <w:p>
      <w:pPr>
        <w:pStyle w:val="CodeBlock"/>
      </w:pPr>
      <w:r>
        <w:rPr>
          <w:rFonts w:ascii="Courier New" w:hAnsi="Courier New"/>
          <w:sz w:val="18"/>
        </w:rPr>
        <w:t>D8 temporal mismatch</w:t>
      </w:r>
    </w:p>
    <w:p>
      <w:pPr>
        <w:pStyle w:val="CodeBlock"/>
      </w:pPr>
      <w:r>
        <w:rPr>
          <w:rFonts w:ascii="Courier New" w:hAnsi="Courier New"/>
          <w:sz w:val="18"/>
        </w:rPr>
        <w:t xml:space="preserve">        ↓</w:t>
      </w:r>
    </w:p>
    <w:p>
      <w:pPr>
        <w:pStyle w:val="CodeBlock"/>
      </w:pPr>
      <w:r>
        <w:rPr>
          <w:rFonts w:ascii="Courier New" w:hAnsi="Courier New"/>
          <w:sz w:val="18"/>
        </w:rPr>
        <w:t>visible clinical outcome</w:t>
      </w:r>
    </w:p>
    <w:p>
      <w:r>
        <w:t>A person may have visible lesions with relatively preserved function if lesions occur in less functionally critical regions, network compensation remains strong, reserve capacity remains available, spinal cord or optic pathway involvement is limited, and coherence remains partially maintained. A person may experience significant symptoms with less obvious lesion burden if lesions occur in high-weight pathways, spinal cord or optic pathways are affected, hidden microstructural damage is present, network integration is disrupted, compensation is exhausted, or temporal progression has degraded reserve. This remains a conceptual interpretation, not a clinical prediction tool.</w:t>
      </w:r>
    </w:p>
    <w:p>
      <w:pPr>
        <w:pStyle w:val="Heading2"/>
      </w:pPr>
      <w:r>
        <w:t>5.4 D1-D11 Applied Mapping</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D-Layer</w:t>
            </w:r>
          </w:p>
        </w:tc>
        <w:tc>
          <w:tcPr>
            <w:tcW w:type="dxa" w:w="4896"/>
            <w:vAlign w:val="top"/>
            <w:shd w:fill="D9EAF7"/>
          </w:tcPr>
          <w:p>
            <w:r>
              <w:rPr>
                <w:sz w:val="16"/>
              </w:rPr>
            </w:r>
            <w:r>
              <w:rPr>
                <w:rFonts w:ascii="Times New Roman" w:hAnsi="Times New Roman"/>
                <w:b/>
                <w:sz w:val="16"/>
              </w:rPr>
              <w:t>MS / Hidden Network Coherence Application</w:t>
            </w:r>
          </w:p>
        </w:tc>
      </w:tr>
      <w:tr>
        <w:tc>
          <w:tcPr>
            <w:tcW w:type="dxa" w:w="4896"/>
            <w:vAlign w:val="top"/>
          </w:tcPr>
          <w:p>
            <w:r>
              <w:rPr>
                <w:sz w:val="16"/>
              </w:rPr>
            </w:r>
            <w:r>
              <w:rPr>
                <w:rFonts w:ascii="Times New Roman" w:hAnsi="Times New Roman"/>
                <w:b w:val="0"/>
                <w:sz w:val="16"/>
              </w:rPr>
              <w:t>D1 Structural Substrate</w:t>
            </w:r>
          </w:p>
        </w:tc>
        <w:tc>
          <w:tcPr>
            <w:tcW w:type="dxa" w:w="4896"/>
            <w:vAlign w:val="top"/>
          </w:tcPr>
          <w:p>
            <w:r>
              <w:rPr>
                <w:sz w:val="16"/>
              </w:rPr>
            </w:r>
            <w:r>
              <w:rPr>
                <w:rFonts w:ascii="Times New Roman" w:hAnsi="Times New Roman"/>
                <w:b w:val="0"/>
                <w:sz w:val="16"/>
              </w:rPr>
              <w:t>MRI-visible lesions, spinal cord lesions, optic pathway involvement, grey/white matter structure</w:t>
            </w:r>
          </w:p>
        </w:tc>
      </w:tr>
      <w:tr>
        <w:tc>
          <w:tcPr>
            <w:tcW w:type="dxa" w:w="4896"/>
            <w:vAlign w:val="top"/>
          </w:tcPr>
          <w:p>
            <w:r>
              <w:rPr>
                <w:sz w:val="16"/>
              </w:rPr>
            </w:r>
            <w:r>
              <w:rPr>
                <w:rFonts w:ascii="Times New Roman" w:hAnsi="Times New Roman"/>
                <w:b w:val="0"/>
                <w:sz w:val="16"/>
              </w:rPr>
              <w:t>D2 Sensory / Input</w:t>
            </w:r>
          </w:p>
        </w:tc>
        <w:tc>
          <w:tcPr>
            <w:tcW w:type="dxa" w:w="4896"/>
            <w:vAlign w:val="top"/>
          </w:tcPr>
          <w:p>
            <w:r>
              <w:rPr>
                <w:sz w:val="16"/>
              </w:rPr>
            </w:r>
            <w:r>
              <w:rPr>
                <w:rFonts w:ascii="Times New Roman" w:hAnsi="Times New Roman"/>
                <w:b w:val="0"/>
                <w:sz w:val="16"/>
              </w:rPr>
              <w:t>Neural signals, inflammatory signals, fatigue load, heat/stress sensitivity, immune activity</w:t>
            </w:r>
          </w:p>
        </w:tc>
      </w:tr>
      <w:tr>
        <w:tc>
          <w:tcPr>
            <w:tcW w:type="dxa" w:w="4896"/>
            <w:vAlign w:val="top"/>
          </w:tcPr>
          <w:p>
            <w:r>
              <w:rPr>
                <w:sz w:val="16"/>
              </w:rPr>
            </w:r>
            <w:r>
              <w:rPr>
                <w:rFonts w:ascii="Times New Roman" w:hAnsi="Times New Roman"/>
                <w:b w:val="0"/>
                <w:sz w:val="16"/>
              </w:rPr>
              <w:t>D3 Signal Translation</w:t>
            </w:r>
          </w:p>
        </w:tc>
        <w:tc>
          <w:tcPr>
            <w:tcW w:type="dxa" w:w="4896"/>
            <w:vAlign w:val="top"/>
          </w:tcPr>
          <w:p>
            <w:r>
              <w:rPr>
                <w:sz w:val="16"/>
              </w:rPr>
            </w:r>
            <w:r>
              <w:rPr>
                <w:rFonts w:ascii="Times New Roman" w:hAnsi="Times New Roman"/>
                <w:b w:val="0"/>
                <w:sz w:val="16"/>
              </w:rPr>
              <w:t>Demyelination and axonal injury may distort signal conduction</w:t>
            </w:r>
          </w:p>
        </w:tc>
      </w:tr>
      <w:tr>
        <w:tc>
          <w:tcPr>
            <w:tcW w:type="dxa" w:w="4896"/>
            <w:vAlign w:val="top"/>
          </w:tcPr>
          <w:p>
            <w:r>
              <w:rPr>
                <w:sz w:val="16"/>
              </w:rPr>
            </w:r>
            <w:r>
              <w:rPr>
                <w:rFonts w:ascii="Times New Roman" w:hAnsi="Times New Roman"/>
                <w:b w:val="0"/>
                <w:sz w:val="16"/>
              </w:rPr>
              <w:t>D4 Network Integration</w:t>
            </w:r>
          </w:p>
        </w:tc>
        <w:tc>
          <w:tcPr>
            <w:tcW w:type="dxa" w:w="4896"/>
            <w:vAlign w:val="top"/>
          </w:tcPr>
          <w:p>
            <w:r>
              <w:rPr>
                <w:sz w:val="16"/>
              </w:rPr>
            </w:r>
            <w:r>
              <w:rPr>
                <w:rFonts w:ascii="Times New Roman" w:hAnsi="Times New Roman"/>
                <w:b w:val="0"/>
                <w:sz w:val="16"/>
              </w:rPr>
              <w:t>Lesion location and hidden disruption may affect distributed neural networks</w:t>
            </w:r>
          </w:p>
        </w:tc>
      </w:tr>
      <w:tr>
        <w:tc>
          <w:tcPr>
            <w:tcW w:type="dxa" w:w="4896"/>
            <w:vAlign w:val="top"/>
          </w:tcPr>
          <w:p>
            <w:r>
              <w:rPr>
                <w:sz w:val="16"/>
              </w:rPr>
            </w:r>
            <w:r>
              <w:rPr>
                <w:rFonts w:ascii="Times New Roman" w:hAnsi="Times New Roman"/>
                <w:b w:val="0"/>
                <w:sz w:val="16"/>
              </w:rPr>
              <w:t>D5 Coherence</w:t>
            </w:r>
          </w:p>
        </w:tc>
        <w:tc>
          <w:tcPr>
            <w:tcW w:type="dxa" w:w="4896"/>
            <w:vAlign w:val="top"/>
          </w:tcPr>
          <w:p>
            <w:r>
              <w:rPr>
                <w:sz w:val="16"/>
              </w:rPr>
            </w:r>
            <w:r>
              <w:rPr>
                <w:rFonts w:ascii="Times New Roman" w:hAnsi="Times New Roman"/>
                <w:b w:val="0"/>
                <w:sz w:val="16"/>
              </w:rPr>
              <w:t>Functional coherence may decline even when lesion count alone appears insufficient</w:t>
            </w:r>
          </w:p>
        </w:tc>
      </w:tr>
      <w:tr>
        <w:tc>
          <w:tcPr>
            <w:tcW w:type="dxa" w:w="4896"/>
            <w:vAlign w:val="top"/>
          </w:tcPr>
          <w:p>
            <w:r>
              <w:rPr>
                <w:sz w:val="16"/>
              </w:rPr>
            </w:r>
            <w:r>
              <w:rPr>
                <w:rFonts w:ascii="Times New Roman" w:hAnsi="Times New Roman"/>
                <w:b w:val="0"/>
                <w:sz w:val="16"/>
              </w:rPr>
              <w:t>D6 Compensation / Reserve</w:t>
            </w:r>
          </w:p>
        </w:tc>
        <w:tc>
          <w:tcPr>
            <w:tcW w:type="dxa" w:w="4896"/>
            <w:vAlign w:val="top"/>
          </w:tcPr>
          <w:p>
            <w:r>
              <w:rPr>
                <w:sz w:val="16"/>
              </w:rPr>
            </w:r>
            <w:r>
              <w:rPr>
                <w:rFonts w:ascii="Times New Roman" w:hAnsi="Times New Roman"/>
                <w:b w:val="0"/>
                <w:sz w:val="16"/>
              </w:rPr>
              <w:t>Functional reserve and neural compensation may mask damage or delay disability</w:t>
            </w:r>
          </w:p>
        </w:tc>
      </w:tr>
      <w:tr>
        <w:tc>
          <w:tcPr>
            <w:tcW w:type="dxa" w:w="4896"/>
            <w:vAlign w:val="top"/>
          </w:tcPr>
          <w:p>
            <w:r>
              <w:rPr>
                <w:sz w:val="16"/>
              </w:rPr>
            </w:r>
            <w:r>
              <w:rPr>
                <w:rFonts w:ascii="Times New Roman" w:hAnsi="Times New Roman"/>
                <w:b w:val="0"/>
                <w:sz w:val="16"/>
              </w:rPr>
              <w:t>D7 Environment / Context</w:t>
            </w:r>
          </w:p>
        </w:tc>
        <w:tc>
          <w:tcPr>
            <w:tcW w:type="dxa" w:w="4896"/>
            <w:vAlign w:val="top"/>
          </w:tcPr>
          <w:p>
            <w:r>
              <w:rPr>
                <w:sz w:val="16"/>
              </w:rPr>
            </w:r>
            <w:r>
              <w:rPr>
                <w:rFonts w:ascii="Times New Roman" w:hAnsi="Times New Roman"/>
                <w:b w:val="0"/>
                <w:sz w:val="16"/>
              </w:rPr>
              <w:t>Heat, fatigue, stress, inflammation, sleep, and rehabilitation context may influence function</w:t>
            </w:r>
          </w:p>
        </w:tc>
      </w:tr>
      <w:tr>
        <w:tc>
          <w:tcPr>
            <w:tcW w:type="dxa" w:w="4896"/>
            <w:vAlign w:val="top"/>
          </w:tcPr>
          <w:p>
            <w:r>
              <w:rPr>
                <w:sz w:val="16"/>
              </w:rPr>
            </w:r>
            <w:r>
              <w:rPr>
                <w:rFonts w:ascii="Times New Roman" w:hAnsi="Times New Roman"/>
                <w:b w:val="0"/>
                <w:sz w:val="16"/>
              </w:rPr>
              <w:t>D8 Temporal Development</w:t>
            </w:r>
          </w:p>
        </w:tc>
        <w:tc>
          <w:tcPr>
            <w:tcW w:type="dxa" w:w="4896"/>
            <w:vAlign w:val="top"/>
          </w:tcPr>
          <w:p>
            <w:r>
              <w:rPr>
                <w:sz w:val="16"/>
              </w:rPr>
            </w:r>
            <w:r>
              <w:rPr>
                <w:rFonts w:ascii="Times New Roman" w:hAnsi="Times New Roman"/>
                <w:b w:val="0"/>
                <w:sz w:val="16"/>
              </w:rPr>
              <w:t>Lesion timing, progression timing, relapse timing, and symptom timing may not align</w:t>
            </w:r>
          </w:p>
        </w:tc>
      </w:tr>
      <w:tr>
        <w:tc>
          <w:tcPr>
            <w:tcW w:type="dxa" w:w="4896"/>
            <w:vAlign w:val="top"/>
          </w:tcPr>
          <w:p>
            <w:r>
              <w:rPr>
                <w:sz w:val="16"/>
              </w:rPr>
            </w:r>
            <w:r>
              <w:rPr>
                <w:rFonts w:ascii="Times New Roman" w:hAnsi="Times New Roman"/>
                <w:b w:val="0"/>
                <w:sz w:val="16"/>
              </w:rPr>
              <w:t>D9 Identity / Meaning</w:t>
            </w:r>
          </w:p>
        </w:tc>
        <w:tc>
          <w:tcPr>
            <w:tcW w:type="dxa" w:w="4896"/>
            <w:vAlign w:val="top"/>
          </w:tcPr>
          <w:p>
            <w:r>
              <w:rPr>
                <w:sz w:val="16"/>
              </w:rPr>
            </w:r>
            <w:r>
              <w:rPr>
                <w:rFonts w:ascii="Times New Roman" w:hAnsi="Times New Roman"/>
                <w:b w:val="0"/>
                <w:sz w:val="16"/>
              </w:rPr>
              <w:t>Symptoms do not define the whole person or the total identity of the nervous system</w:t>
            </w:r>
          </w:p>
        </w:tc>
      </w:tr>
      <w:tr>
        <w:tc>
          <w:tcPr>
            <w:tcW w:type="dxa" w:w="4896"/>
            <w:vAlign w:val="top"/>
          </w:tcPr>
          <w:p>
            <w:r>
              <w:rPr>
                <w:sz w:val="16"/>
              </w:rPr>
            </w:r>
            <w:r>
              <w:rPr>
                <w:rFonts w:ascii="Times New Roman" w:hAnsi="Times New Roman"/>
                <w:b w:val="0"/>
                <w:sz w:val="16"/>
              </w:rPr>
              <w:t>D10 Safety / Boundary</w:t>
            </w:r>
          </w:p>
        </w:tc>
        <w:tc>
          <w:tcPr>
            <w:tcW w:type="dxa" w:w="4896"/>
            <w:vAlign w:val="top"/>
          </w:tcPr>
          <w:p>
            <w:r>
              <w:rPr>
                <w:sz w:val="16"/>
              </w:rPr>
            </w:r>
            <w:r>
              <w:rPr>
                <w:rFonts w:ascii="Times New Roman" w:hAnsi="Times New Roman"/>
                <w:b w:val="0"/>
                <w:sz w:val="16"/>
              </w:rPr>
              <w:t>No MRI reinterpretation, no diagnosis, no prediction, no treatment recommendation</w:t>
            </w:r>
          </w:p>
        </w:tc>
      </w:tr>
      <w:tr>
        <w:tc>
          <w:tcPr>
            <w:tcW w:type="dxa" w:w="4896"/>
            <w:vAlign w:val="top"/>
          </w:tcPr>
          <w:p>
            <w:r>
              <w:rPr>
                <w:sz w:val="16"/>
              </w:rPr>
            </w:r>
            <w:r>
              <w:rPr>
                <w:rFonts w:ascii="Times New Roman" w:hAnsi="Times New Roman"/>
                <w:b w:val="0"/>
                <w:sz w:val="16"/>
              </w:rPr>
              <w:t>D11 Research Output</w:t>
            </w:r>
          </w:p>
        </w:tc>
        <w:tc>
          <w:tcPr>
            <w:tcW w:type="dxa" w:w="4896"/>
            <w:vAlign w:val="top"/>
          </w:tcPr>
          <w:p>
            <w:r>
              <w:rPr>
                <w:sz w:val="16"/>
              </w:rPr>
            </w:r>
            <w:r>
              <w:rPr>
                <w:rFonts w:ascii="Times New Roman" w:hAnsi="Times New Roman"/>
                <w:b w:val="0"/>
                <w:sz w:val="16"/>
              </w:rPr>
              <w:t>Hidden network coherence map for conceptual analysis</w:t>
            </w:r>
          </w:p>
        </w:tc>
      </w:tr>
    </w:tbl>
    <w:p>
      <w:pPr>
        <w:pStyle w:val="Heading2"/>
      </w:pPr>
      <w:r>
        <w:t>5.5 Conceptual Experiment</w:t>
      </w:r>
    </w:p>
    <w:p>
      <w:r>
        <w:t>Experiment Name: Multiple Sclerosis / Hidden Network Coherence Experiment</w:t>
      </w:r>
    </w:p>
    <w:p>
      <w:r>
        <w:t>Experiment Question: Can the clinico-radiological paradox be modeled as a mismatch between visible lesion load and hidden network coherence?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Variable</w:t>
            </w:r>
          </w:p>
        </w:tc>
        <w:tc>
          <w:tcPr>
            <w:tcW w:type="dxa" w:w="4896"/>
            <w:vAlign w:val="top"/>
            <w:shd w:fill="D9EAF7"/>
          </w:tcPr>
          <w:p>
            <w:r>
              <w:rPr>
                <w:sz w:val="16"/>
              </w:rPr>
            </w:r>
            <w:r>
              <w:rPr>
                <w:rFonts w:ascii="Times New Roman" w:hAnsi="Times New Roman"/>
                <w:b/>
                <w:sz w:val="16"/>
              </w:rPr>
              <w:t>Description</w:t>
            </w:r>
          </w:p>
        </w:tc>
      </w:tr>
      <w:tr>
        <w:tc>
          <w:tcPr>
            <w:tcW w:type="dxa" w:w="4896"/>
            <w:vAlign w:val="top"/>
          </w:tcPr>
          <w:p>
            <w:r>
              <w:rPr>
                <w:sz w:val="16"/>
              </w:rPr>
            </w:r>
            <w:r>
              <w:rPr>
                <w:rFonts w:ascii="Times New Roman" w:hAnsi="Times New Roman"/>
                <w:b w:val="0"/>
                <w:sz w:val="16"/>
              </w:rPr>
              <w:t>L_visible</w:t>
            </w:r>
          </w:p>
        </w:tc>
        <w:tc>
          <w:tcPr>
            <w:tcW w:type="dxa" w:w="4896"/>
            <w:vAlign w:val="top"/>
          </w:tcPr>
          <w:p>
            <w:r>
              <w:rPr>
                <w:sz w:val="16"/>
              </w:rPr>
            </w:r>
            <w:r>
              <w:rPr>
                <w:rFonts w:ascii="Times New Roman" w:hAnsi="Times New Roman"/>
                <w:b w:val="0"/>
                <w:sz w:val="16"/>
              </w:rPr>
              <w:t>Visible lesion load</w:t>
            </w:r>
          </w:p>
        </w:tc>
      </w:tr>
      <w:tr>
        <w:tc>
          <w:tcPr>
            <w:tcW w:type="dxa" w:w="4896"/>
            <w:vAlign w:val="top"/>
          </w:tcPr>
          <w:p>
            <w:r>
              <w:rPr>
                <w:sz w:val="16"/>
              </w:rPr>
            </w:r>
            <w:r>
              <w:rPr>
                <w:rFonts w:ascii="Times New Roman" w:hAnsi="Times New Roman"/>
                <w:b w:val="0"/>
                <w:sz w:val="16"/>
              </w:rPr>
              <w:t>W_location</w:t>
            </w:r>
          </w:p>
        </w:tc>
        <w:tc>
          <w:tcPr>
            <w:tcW w:type="dxa" w:w="4896"/>
            <w:vAlign w:val="top"/>
          </w:tcPr>
          <w:p>
            <w:r>
              <w:rPr>
                <w:sz w:val="16"/>
              </w:rPr>
            </w:r>
            <w:r>
              <w:rPr>
                <w:rFonts w:ascii="Times New Roman" w:hAnsi="Times New Roman"/>
                <w:b w:val="0"/>
                <w:sz w:val="16"/>
              </w:rPr>
              <w:t>Lesion location weight</w:t>
            </w:r>
          </w:p>
        </w:tc>
      </w:tr>
      <w:tr>
        <w:tc>
          <w:tcPr>
            <w:tcW w:type="dxa" w:w="4896"/>
            <w:vAlign w:val="top"/>
          </w:tcPr>
          <w:p>
            <w:r>
              <w:rPr>
                <w:sz w:val="16"/>
              </w:rPr>
            </w:r>
            <w:r>
              <w:rPr>
                <w:rFonts w:ascii="Times New Roman" w:hAnsi="Times New Roman"/>
                <w:b w:val="0"/>
                <w:sz w:val="16"/>
              </w:rPr>
              <w:t>S_spinal</w:t>
            </w:r>
          </w:p>
        </w:tc>
        <w:tc>
          <w:tcPr>
            <w:tcW w:type="dxa" w:w="4896"/>
            <w:vAlign w:val="top"/>
          </w:tcPr>
          <w:p>
            <w:r>
              <w:rPr>
                <w:sz w:val="16"/>
              </w:rPr>
            </w:r>
            <w:r>
              <w:rPr>
                <w:rFonts w:ascii="Times New Roman" w:hAnsi="Times New Roman"/>
                <w:b w:val="0"/>
                <w:sz w:val="16"/>
              </w:rPr>
              <w:t>Spinal cord pathway involvement</w:t>
            </w:r>
          </w:p>
        </w:tc>
      </w:tr>
      <w:tr>
        <w:tc>
          <w:tcPr>
            <w:tcW w:type="dxa" w:w="4896"/>
            <w:vAlign w:val="top"/>
          </w:tcPr>
          <w:p>
            <w:r>
              <w:rPr>
                <w:sz w:val="16"/>
              </w:rPr>
            </w:r>
            <w:r>
              <w:rPr>
                <w:rFonts w:ascii="Times New Roman" w:hAnsi="Times New Roman"/>
                <w:b w:val="0"/>
                <w:sz w:val="16"/>
              </w:rPr>
              <w:t>O_optic</w:t>
            </w:r>
          </w:p>
        </w:tc>
        <w:tc>
          <w:tcPr>
            <w:tcW w:type="dxa" w:w="4896"/>
            <w:vAlign w:val="top"/>
          </w:tcPr>
          <w:p>
            <w:r>
              <w:rPr>
                <w:sz w:val="16"/>
              </w:rPr>
            </w:r>
            <w:r>
              <w:rPr>
                <w:rFonts w:ascii="Times New Roman" w:hAnsi="Times New Roman"/>
                <w:b w:val="0"/>
                <w:sz w:val="16"/>
              </w:rPr>
              <w:t>Optic pathway involvement</w:t>
            </w:r>
          </w:p>
        </w:tc>
      </w:tr>
      <w:tr>
        <w:tc>
          <w:tcPr>
            <w:tcW w:type="dxa" w:w="4896"/>
            <w:vAlign w:val="top"/>
          </w:tcPr>
          <w:p>
            <w:r>
              <w:rPr>
                <w:sz w:val="16"/>
              </w:rPr>
            </w:r>
            <w:r>
              <w:rPr>
                <w:rFonts w:ascii="Times New Roman" w:hAnsi="Times New Roman"/>
                <w:b w:val="0"/>
                <w:sz w:val="16"/>
              </w:rPr>
              <w:t>M_micro</w:t>
            </w:r>
          </w:p>
        </w:tc>
        <w:tc>
          <w:tcPr>
            <w:tcW w:type="dxa" w:w="4896"/>
            <w:vAlign w:val="top"/>
          </w:tcPr>
          <w:p>
            <w:r>
              <w:rPr>
                <w:sz w:val="16"/>
              </w:rPr>
            </w:r>
            <w:r>
              <w:rPr>
                <w:rFonts w:ascii="Times New Roman" w:hAnsi="Times New Roman"/>
                <w:b w:val="0"/>
                <w:sz w:val="16"/>
              </w:rPr>
              <w:t>Hidden microstructural damage</w:t>
            </w:r>
          </w:p>
        </w:tc>
      </w:tr>
      <w:tr>
        <w:tc>
          <w:tcPr>
            <w:tcW w:type="dxa" w:w="4896"/>
            <w:vAlign w:val="top"/>
          </w:tcPr>
          <w:p>
            <w:r>
              <w:rPr>
                <w:sz w:val="16"/>
              </w:rPr>
            </w:r>
            <w:r>
              <w:rPr>
                <w:rFonts w:ascii="Times New Roman" w:hAnsi="Times New Roman"/>
                <w:b w:val="0"/>
                <w:sz w:val="16"/>
              </w:rPr>
              <w:t>N_network</w:t>
            </w:r>
          </w:p>
        </w:tc>
        <w:tc>
          <w:tcPr>
            <w:tcW w:type="dxa" w:w="4896"/>
            <w:vAlign w:val="top"/>
          </w:tcPr>
          <w:p>
            <w:r>
              <w:rPr>
                <w:sz w:val="16"/>
              </w:rPr>
            </w:r>
            <w:r>
              <w:rPr>
                <w:rFonts w:ascii="Times New Roman" w:hAnsi="Times New Roman"/>
                <w:b w:val="0"/>
                <w:sz w:val="16"/>
              </w:rPr>
              <w:t>Network integration stability</w:t>
            </w:r>
          </w:p>
        </w:tc>
      </w:tr>
      <w:tr>
        <w:tc>
          <w:tcPr>
            <w:tcW w:type="dxa" w:w="4896"/>
            <w:vAlign w:val="top"/>
          </w:tcPr>
          <w:p>
            <w:r>
              <w:rPr>
                <w:sz w:val="16"/>
              </w:rPr>
            </w:r>
            <w:r>
              <w:rPr>
                <w:rFonts w:ascii="Times New Roman" w:hAnsi="Times New Roman"/>
                <w:b w:val="0"/>
                <w:sz w:val="16"/>
              </w:rPr>
              <w:t>C_coherence</w:t>
            </w:r>
          </w:p>
        </w:tc>
        <w:tc>
          <w:tcPr>
            <w:tcW w:type="dxa" w:w="4896"/>
            <w:vAlign w:val="top"/>
          </w:tcPr>
          <w:p>
            <w:r>
              <w:rPr>
                <w:sz w:val="16"/>
              </w:rPr>
            </w:r>
            <w:r>
              <w:rPr>
                <w:rFonts w:ascii="Times New Roman" w:hAnsi="Times New Roman"/>
                <w:b w:val="0"/>
                <w:sz w:val="16"/>
              </w:rPr>
              <w:t>Functional coherence</w:t>
            </w:r>
          </w:p>
        </w:tc>
      </w:tr>
      <w:tr>
        <w:tc>
          <w:tcPr>
            <w:tcW w:type="dxa" w:w="4896"/>
            <w:vAlign w:val="top"/>
          </w:tcPr>
          <w:p>
            <w:r>
              <w:rPr>
                <w:sz w:val="16"/>
              </w:rPr>
            </w:r>
            <w:r>
              <w:rPr>
                <w:rFonts w:ascii="Times New Roman" w:hAnsi="Times New Roman"/>
                <w:b w:val="0"/>
                <w:sz w:val="16"/>
              </w:rPr>
              <w:t>R_reserve</w:t>
            </w:r>
          </w:p>
        </w:tc>
        <w:tc>
          <w:tcPr>
            <w:tcW w:type="dxa" w:w="4896"/>
            <w:vAlign w:val="top"/>
          </w:tcPr>
          <w:p>
            <w:r>
              <w:rPr>
                <w:sz w:val="16"/>
              </w:rPr>
            </w:r>
            <w:r>
              <w:rPr>
                <w:rFonts w:ascii="Times New Roman" w:hAnsi="Times New Roman"/>
                <w:b w:val="0"/>
                <w:sz w:val="16"/>
              </w:rPr>
              <w:t>Functional reserve / compensation capacity</w:t>
            </w:r>
          </w:p>
        </w:tc>
      </w:tr>
      <w:tr>
        <w:tc>
          <w:tcPr>
            <w:tcW w:type="dxa" w:w="4896"/>
            <w:vAlign w:val="top"/>
          </w:tcPr>
          <w:p>
            <w:r>
              <w:rPr>
                <w:sz w:val="16"/>
              </w:rPr>
            </w:r>
            <w:r>
              <w:rPr>
                <w:rFonts w:ascii="Times New Roman" w:hAnsi="Times New Roman"/>
                <w:b w:val="0"/>
                <w:sz w:val="16"/>
              </w:rPr>
              <w:t>T_time</w:t>
            </w:r>
          </w:p>
        </w:tc>
        <w:tc>
          <w:tcPr>
            <w:tcW w:type="dxa" w:w="4896"/>
            <w:vAlign w:val="top"/>
          </w:tcPr>
          <w:p>
            <w:r>
              <w:rPr>
                <w:sz w:val="16"/>
              </w:rPr>
            </w:r>
            <w:r>
              <w:rPr>
                <w:rFonts w:ascii="Times New Roman" w:hAnsi="Times New Roman"/>
                <w:b w:val="0"/>
                <w:sz w:val="16"/>
              </w:rPr>
              <w:t>Lesion-symptom timing mismatch</w:t>
            </w:r>
          </w:p>
        </w:tc>
      </w:tr>
      <w:tr>
        <w:tc>
          <w:tcPr>
            <w:tcW w:type="dxa" w:w="4896"/>
            <w:vAlign w:val="top"/>
          </w:tcPr>
          <w:p>
            <w:r>
              <w:rPr>
                <w:sz w:val="16"/>
              </w:rPr>
            </w:r>
            <w:r>
              <w:rPr>
                <w:rFonts w:ascii="Times New Roman" w:hAnsi="Times New Roman"/>
                <w:b w:val="0"/>
                <w:sz w:val="16"/>
              </w:rPr>
              <w:t>B_block</w:t>
            </w:r>
          </w:p>
        </w:tc>
        <w:tc>
          <w:tcPr>
            <w:tcW w:type="dxa" w:w="4896"/>
            <w:vAlign w:val="top"/>
          </w:tcPr>
          <w:p>
            <w:r>
              <w:rPr>
                <w:sz w:val="16"/>
              </w:rPr>
            </w:r>
            <w:r>
              <w:rPr>
                <w:rFonts w:ascii="Times New Roman" w:hAnsi="Times New Roman"/>
                <w:b w:val="0"/>
                <w:sz w:val="16"/>
              </w:rPr>
              <w:t>Blockage intensity</w:t>
            </w:r>
          </w:p>
        </w:tc>
      </w:tr>
    </w:tbl>
    <w:p>
      <w:pPr>
        <w:pStyle w:val="CodeBlock"/>
      </w:pPr>
      <w:r>
        <w:rPr>
          <w:rFonts w:ascii="Courier New" w:hAnsi="Courier New"/>
          <w:sz w:val="18"/>
        </w:rPr>
        <w:t>B_block = (L_visible × W_location × S_spinal × O_optic × M_micro × T_time) / (N_network × R_reserve)</w:t>
      </w:r>
    </w:p>
    <w:p>
      <w:r>
        <w:t>If visible lesion burden is combined with high location weight, spinal/optic pathway involvement, hidden microstructural damage, and temporal mismatch, blockage intensity increases. If network integration and functional reserve remain strong, visible lesion burden may produce less functional disruption than expected. This equation is symbolic only. It does not predict disability, diagnose MS, interpret MRI, or replace clinical evaluation.</w:t>
      </w:r>
    </w:p>
    <w:p>
      <w:pPr>
        <w:pStyle w:val="Heading2"/>
      </w:pPr>
      <w:r>
        <w:t>5.6 Conceptual Findings</w:t>
      </w:r>
    </w:p>
    <w:p>
      <w:pPr>
        <w:pStyle w:val="ListBullet"/>
      </w:pPr>
      <w:r>
        <w:t>Lesion Count Is Not the Whole Map - Visible lesion number or volume does not fully describe functional burden (Barkhof, 2002; Chard et al., 2017).</w:t>
      </w:r>
    </w:p>
    <w:p>
      <w:pPr>
        <w:pStyle w:val="ListBullet"/>
      </w:pPr>
      <w:r>
        <w:t>Location Weight Matters - A smaller lesion in a high-weight pathway may produce greater functional impact than larger lesions in less critical regions (Hartmann et al., 2023).</w:t>
      </w:r>
    </w:p>
    <w:p>
      <w:pPr>
        <w:pStyle w:val="ListBullet"/>
      </w:pPr>
      <w:r>
        <w:t>Hidden Damage May Carry Functional Meaning - Microstructural injury, grey matter involvement, spinal cord damage, and network disruption may contribute to symptoms beyond visible lesion load (Chard et al., 2017).</w:t>
      </w:r>
    </w:p>
    <w:p>
      <w:pPr>
        <w:pStyle w:val="ListBullet"/>
      </w:pPr>
      <w:r>
        <w:t>Compensation Can Hide Instability - Functional reserve may allow the system to maintain performance until compensation capacity is exceeded.</w:t>
      </w:r>
    </w:p>
    <w:p>
      <w:pPr>
        <w:pStyle w:val="ListBullet"/>
      </w:pPr>
      <w:r>
        <w:t>Time Creates Mismatch - Lesions, symptoms, fatigue, relapse history, and progression may not appear in a simple one-to-one temporal sequence.</w:t>
      </w:r>
    </w:p>
    <w:p>
      <w:pPr>
        <w:pStyle w:val="ListBullet"/>
      </w:pPr>
      <w:r>
        <w:t>The Person Is Not the Lesion Map - EIT separates structural findings from the full lived neurological system.</w:t>
      </w:r>
    </w:p>
    <w:p>
      <w:pPr>
        <w:pStyle w:val="Heading2"/>
      </w:pPr>
      <w:r>
        <w:t>5.7 Article 7 Safety Check</w:t>
      </w:r>
    </w:p>
    <w:p>
      <w:pPr>
        <w:pStyle w:val="ListBullet"/>
      </w:pPr>
      <w:r>
        <w:t>No diagnosis</w:t>
      </w:r>
    </w:p>
    <w:p>
      <w:pPr>
        <w:pStyle w:val="ListBullet"/>
      </w:pPr>
      <w:r>
        <w:t>No MRI interpretation</w:t>
      </w:r>
    </w:p>
    <w:p>
      <w:pPr>
        <w:pStyle w:val="ListBullet"/>
      </w:pPr>
      <w:r>
        <w:t>No clinical prediction</w:t>
      </w:r>
    </w:p>
    <w:p>
      <w:pPr>
        <w:pStyle w:val="ListBullet"/>
      </w:pPr>
      <w:r>
        <w:t>No treatment recommendation</w:t>
      </w:r>
    </w:p>
    <w:p>
      <w:pPr>
        <w:pStyle w:val="ListBullet"/>
      </w:pPr>
      <w:r>
        <w:t>No disability forecasting</w:t>
      </w:r>
    </w:p>
    <w:p>
      <w:pPr>
        <w:pStyle w:val="ListBullet"/>
      </w:pPr>
      <w:r>
        <w:t>No replacement for a neurologist</w:t>
      </w:r>
    </w:p>
    <w:p>
      <w:pPr>
        <w:pStyle w:val="ListBullet"/>
      </w:pPr>
      <w:r>
        <w:t>No reinterpretation of medical images</w:t>
      </w:r>
    </w:p>
    <w:p>
      <w:pPr>
        <w:pStyle w:val="ListBullet"/>
      </w:pPr>
      <w:r>
        <w:t>No claim that symbolic variables are validated biomarkers</w:t>
      </w:r>
    </w:p>
    <w:p>
      <w:r>
        <w:t>Any medical interpretation of MS symptoms, MRI findings, progression, or treatment must be performed by qualified clinicians and supported by validated medical evidence.</w:t>
      </w:r>
    </w:p>
    <w:p>
      <w:pPr>
        <w:pStyle w:val="Heading1"/>
      </w:pPr>
      <w:r>
        <w:t>6. Experiment 3: Cellular Rejuvenation / Identity-Time Stability Model</w:t>
      </w:r>
    </w:p>
    <w:p>
      <w:pPr>
        <w:pStyle w:val="Heading2"/>
      </w:pPr>
      <w:r>
        <w:t>6.1 Paradox Statement</w:t>
      </w:r>
    </w:p>
    <w:p>
      <w:pPr>
        <w:spacing w:before="60" w:after="80"/>
        <w:ind w:left="504" w:right="288"/>
      </w:pPr>
      <w:r>
        <w:rPr>
          <w:i/>
          <w:color w:val="375573"/>
          <w:sz w:val="22"/>
        </w:rPr>
        <w:t>"How can biological age markers be partially reset without collapsing cellular identity, genomic safety, regulatory coherence, or tissue function?"</w:t>
      </w:r>
    </w:p>
    <w:p>
      <w:r>
        <w:t>The third conceptual experiment examines the cellular rejuvenation time paradox through the NOVA Q / EIT 11D Framework.</w:t>
      </w:r>
    </w:p>
    <w:p>
      <w:r>
        <w:t>In this model, cellular rejuvenation is not treated as a simple reversal of time. Instead, it is treated as a high-risk identity-time stability problem.</w:t>
      </w:r>
    </w:p>
    <w:p>
      <w:pPr>
        <w:pStyle w:val="CodeBlock"/>
      </w:pPr>
      <w:r>
        <w:rPr>
          <w:rFonts w:ascii="Courier New" w:hAnsi="Courier New"/>
          <w:sz w:val="18"/>
        </w:rPr>
        <w:t>Age reset</w:t>
      </w:r>
    </w:p>
    <w:p>
      <w:pPr>
        <w:pStyle w:val="CodeBlock"/>
      </w:pPr>
      <w:r>
        <w:rPr>
          <w:rFonts w:ascii="Courier New" w:hAnsi="Courier New"/>
          <w:sz w:val="18"/>
        </w:rPr>
        <w:t xml:space="preserve">        ≠</w:t>
      </w:r>
    </w:p>
    <w:p>
      <w:pPr>
        <w:pStyle w:val="CodeBlock"/>
      </w:pPr>
      <w:r>
        <w:rPr>
          <w:rFonts w:ascii="Courier New" w:hAnsi="Courier New"/>
          <w:sz w:val="18"/>
        </w:rPr>
        <w:t>safe identity preservation</w:t>
      </w:r>
    </w:p>
    <w:p>
      <w:r>
        <w:t>A cell may show signs of reduced biological age while still facing risks related to loss of cell identity, dedifferentiation, genomic instability, tumor drift, regulatory mismatch, epigenetic noise, tissue-context disruption, and incomplete safety validation (Simpson et al., 2021; Paine et al., 2024; Jo et al., 2025).</w:t>
      </w:r>
    </w:p>
    <w:p>
      <w:pPr>
        <w:spacing w:before="60" w:after="80"/>
        <w:ind w:left="504" w:right="288"/>
      </w:pPr>
      <w:r>
        <w:rPr>
          <w:i/>
          <w:color w:val="375573"/>
          <w:sz w:val="22"/>
        </w:rPr>
        <w:t>"Can biological time markers shift backward while identity and safety remain stable?"</w:t>
      </w:r>
    </w:p>
    <w:p>
      <w:pPr>
        <w:pStyle w:val="Heading2"/>
      </w:pPr>
      <w:r>
        <w:t>6.2 Public Information Layer</w:t>
      </w:r>
    </w:p>
    <w:p>
      <w:r>
        <w:t>Cellular reprogramming research has explored whether aging-related molecular patterns can be partially reversed while avoiding full dedifferentiation. Reviews describe reprogramming-induced rejuvenation as a promising but complex strategy, often involving transient expression of Yamanaka factors in research contexts to reduce biological age while attempting to preserve cellular identity (Simpson et al., 2021; Paine et al., 2024).</w:t>
      </w:r>
    </w:p>
    <w:p>
      <w:r>
        <w:t>A major challenge in this field is separating rejuvenation from dedifferentiation. Full reprogramming can erase cellular identity, while partial reprogramming aims to reduce age-associated features without pushing cells into a pluripotent or unstable state (Ocampo et al., 2016; Simpson et al., 2021). Reviews emphasize that safety and clinical applicability remain major concerns (Yücel &amp; Gladyshev, 2024).</w:t>
      </w:r>
    </w:p>
    <w:p>
      <w:r>
        <w:t>Epigenetic clocks are commonly used in aging research to estimate biological age from molecular patterns such as DNA methylation (Horvath, 2013). However, aging clocks remain research tools and must be interpreted carefully because biological age estimates can vary by tissue, cell type, model design, and context.</w:t>
      </w:r>
    </w:p>
    <w:p>
      <w:r>
        <w:t>Experimental partial reprogramming studies have reported improvement in age-associated features in animal or cellular models (Ocampo et al., 2016), but this does not remove concerns about tumor formation, identity instability, incomplete control, and translation to safe clinical use (Paine et al., 2024; Yücel &amp; Gladyshev, 2024; Jo et al., 2025).</w:t>
      </w:r>
    </w:p>
    <w:p>
      <w:r>
        <w:t>Within NOVA Q / EIT, these public information points form the public layer. They do not become instructions or protocols. They become conceptual evidence that the central paradox is real: age-related markers may be modifiable, but identity and safety remain the critical boundary.</w:t>
      </w:r>
    </w:p>
    <w:p>
      <w:pPr>
        <w:pStyle w:val="Heading2"/>
      </w:pPr>
      <w:r>
        <w:t>6.3 Blockage Point Identification</w:t>
      </w:r>
    </w:p>
    <w:p>
      <w:pPr>
        <w:spacing w:before="60" w:after="80"/>
        <w:ind w:left="504" w:right="288"/>
      </w:pPr>
      <w:r>
        <w:rPr>
          <w:i/>
          <w:color w:val="375573"/>
          <w:sz w:val="22"/>
        </w:rPr>
        <w:t>"Age-reset signaling becomes unsafe if identity coherence and safety boundaries are not preserved."</w:t>
      </w:r>
    </w:p>
    <w:p>
      <w:pPr>
        <w:pStyle w:val="CodeBlock"/>
      </w:pPr>
      <w:r>
        <w:rPr>
          <w:rFonts w:ascii="Courier New" w:hAnsi="Courier New"/>
          <w:sz w:val="18"/>
        </w:rPr>
        <w:t>D2 reprogramming / reset input</w:t>
      </w:r>
    </w:p>
    <w:p>
      <w:pPr>
        <w:pStyle w:val="CodeBlock"/>
      </w:pPr>
      <w:r>
        <w:rPr>
          <w:rFonts w:ascii="Courier New" w:hAnsi="Courier New"/>
          <w:sz w:val="18"/>
        </w:rPr>
        <w:t xml:space="preserve">        ↓</w:t>
      </w:r>
    </w:p>
    <w:p>
      <w:pPr>
        <w:pStyle w:val="CodeBlock"/>
      </w:pPr>
      <w:r>
        <w:rPr>
          <w:rFonts w:ascii="Courier New" w:hAnsi="Courier New"/>
          <w:sz w:val="18"/>
        </w:rPr>
        <w:t>D3 signal translation</w:t>
      </w:r>
    </w:p>
    <w:p>
      <w:pPr>
        <w:pStyle w:val="CodeBlock"/>
      </w:pPr>
      <w:r>
        <w:rPr>
          <w:rFonts w:ascii="Courier New" w:hAnsi="Courier New"/>
          <w:sz w:val="18"/>
        </w:rPr>
        <w:t xml:space="preserve">        ↓</w:t>
      </w:r>
    </w:p>
    <w:p>
      <w:pPr>
        <w:pStyle w:val="CodeBlock"/>
      </w:pPr>
      <w:r>
        <w:rPr>
          <w:rFonts w:ascii="Courier New" w:hAnsi="Courier New"/>
          <w:sz w:val="18"/>
        </w:rPr>
        <w:t>D5 coherence stability</w:t>
      </w:r>
    </w:p>
    <w:p>
      <w:pPr>
        <w:pStyle w:val="CodeBlock"/>
      </w:pPr>
      <w:r>
        <w:rPr>
          <w:rFonts w:ascii="Courier New" w:hAnsi="Courier New"/>
          <w:sz w:val="18"/>
        </w:rPr>
        <w:t xml:space="preserve">        ↓</w:t>
      </w:r>
    </w:p>
    <w:p>
      <w:pPr>
        <w:pStyle w:val="CodeBlock"/>
      </w:pPr>
      <w:r>
        <w:rPr>
          <w:rFonts w:ascii="Courier New" w:hAnsi="Courier New"/>
          <w:sz w:val="18"/>
        </w:rPr>
        <w:t>D8 biological time shift</w:t>
      </w:r>
    </w:p>
    <w:p>
      <w:pPr>
        <w:pStyle w:val="CodeBlock"/>
      </w:pPr>
      <w:r>
        <w:rPr>
          <w:rFonts w:ascii="Courier New" w:hAnsi="Courier New"/>
          <w:sz w:val="18"/>
        </w:rPr>
        <w:t xml:space="preserve">        ↓</w:t>
      </w:r>
    </w:p>
    <w:p>
      <w:pPr>
        <w:pStyle w:val="CodeBlock"/>
      </w:pPr>
      <w:r>
        <w:rPr>
          <w:rFonts w:ascii="Courier New" w:hAnsi="Courier New"/>
          <w:sz w:val="18"/>
        </w:rPr>
        <w:t>D9 identity preservation</w:t>
      </w:r>
    </w:p>
    <w:p>
      <w:pPr>
        <w:pStyle w:val="CodeBlock"/>
      </w:pPr>
      <w:r>
        <w:rPr>
          <w:rFonts w:ascii="Courier New" w:hAnsi="Courier New"/>
          <w:sz w:val="18"/>
        </w:rPr>
        <w:t xml:space="preserve">        ↓</w:t>
      </w:r>
    </w:p>
    <w:p>
      <w:pPr>
        <w:pStyle w:val="CodeBlock"/>
      </w:pPr>
      <w:r>
        <w:rPr>
          <w:rFonts w:ascii="Courier New" w:hAnsi="Courier New"/>
          <w:sz w:val="18"/>
        </w:rPr>
        <w:t>D10 safety boundary</w:t>
      </w:r>
    </w:p>
    <w:p>
      <w:pPr>
        <w:pStyle w:val="CodeBlock"/>
      </w:pPr>
      <w:r>
        <w:rPr>
          <w:rFonts w:ascii="Courier New" w:hAnsi="Courier New"/>
          <w:sz w:val="18"/>
        </w:rPr>
        <w:t xml:space="preserve">        ↓</w:t>
      </w:r>
    </w:p>
    <w:p>
      <w:pPr>
        <w:pStyle w:val="CodeBlock"/>
      </w:pPr>
      <w:r>
        <w:rPr>
          <w:rFonts w:ascii="Courier New" w:hAnsi="Courier New"/>
          <w:sz w:val="18"/>
        </w:rPr>
        <w:t>D11 conceptual interpretation</w:t>
      </w:r>
    </w:p>
    <w:p>
      <w:r>
        <w:t>The blockage is not placed at the level of age reduction alone. It is placed between biological time reset and identity-time stability. A cell may appear biologically younger by certain markers, but this does not automatically mean the cell is safer, healthier, stable, or correctly functioning.</w:t>
      </w:r>
    </w:p>
    <w:p>
      <w:pPr>
        <w:pStyle w:val="CodeBlock"/>
      </w:pPr>
      <w:r>
        <w:rPr>
          <w:rFonts w:ascii="Courier New" w:hAnsi="Courier New"/>
          <w:sz w:val="18"/>
        </w:rPr>
        <w:t>apparent rejuvenation</w:t>
      </w:r>
    </w:p>
    <w:p>
      <w:pPr>
        <w:pStyle w:val="CodeBlock"/>
      </w:pPr>
      <w:r>
        <w:rPr>
          <w:rFonts w:ascii="Courier New" w:hAnsi="Courier New"/>
          <w:sz w:val="18"/>
        </w:rPr>
        <w:t xml:space="preserve">        from</w:t>
      </w:r>
    </w:p>
    <w:p>
      <w:pPr>
        <w:pStyle w:val="CodeBlock"/>
      </w:pPr>
      <w:r>
        <w:rPr>
          <w:rFonts w:ascii="Courier New" w:hAnsi="Courier New"/>
          <w:sz w:val="18"/>
        </w:rPr>
        <w:t>safe functional identity</w:t>
      </w:r>
    </w:p>
    <w:p>
      <w:r>
        <w:t>This distinction is essential. A reduction in biological age markers must not be confused with validated cellular safety.</w:t>
      </w:r>
    </w:p>
    <w:p>
      <w:pPr>
        <w:pStyle w:val="Heading2"/>
      </w:pPr>
      <w:r>
        <w:t>6.4 D1-D11 Applied Mapping</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D-Layer</w:t>
            </w:r>
          </w:p>
        </w:tc>
        <w:tc>
          <w:tcPr>
            <w:tcW w:type="dxa" w:w="4896"/>
            <w:vAlign w:val="top"/>
            <w:shd w:fill="D9EAF7"/>
          </w:tcPr>
          <w:p>
            <w:r>
              <w:rPr>
                <w:sz w:val="16"/>
              </w:rPr>
            </w:r>
            <w:r>
              <w:rPr>
                <w:rFonts w:ascii="Times New Roman" w:hAnsi="Times New Roman"/>
                <w:b/>
                <w:sz w:val="16"/>
              </w:rPr>
              <w:t>Cellular Rejuvenation / Identity-Time Stability Application</w:t>
            </w:r>
          </w:p>
        </w:tc>
      </w:tr>
      <w:tr>
        <w:tc>
          <w:tcPr>
            <w:tcW w:type="dxa" w:w="4896"/>
            <w:vAlign w:val="top"/>
          </w:tcPr>
          <w:p>
            <w:r>
              <w:rPr>
                <w:sz w:val="16"/>
              </w:rPr>
            </w:r>
            <w:r>
              <w:rPr>
                <w:rFonts w:ascii="Times New Roman" w:hAnsi="Times New Roman"/>
                <w:b w:val="0"/>
                <w:sz w:val="16"/>
              </w:rPr>
              <w:t>D1 Structural Substrate</w:t>
            </w:r>
          </w:p>
        </w:tc>
        <w:tc>
          <w:tcPr>
            <w:tcW w:type="dxa" w:w="4896"/>
            <w:vAlign w:val="top"/>
          </w:tcPr>
          <w:p>
            <w:r>
              <w:rPr>
                <w:sz w:val="16"/>
              </w:rPr>
            </w:r>
            <w:r>
              <w:rPr>
                <w:rFonts w:ascii="Times New Roman" w:hAnsi="Times New Roman"/>
                <w:b w:val="0"/>
                <w:sz w:val="16"/>
              </w:rPr>
              <w:t>Cell type, morphology, tissue origin, chromatin state, cellular architecture</w:t>
            </w:r>
          </w:p>
        </w:tc>
      </w:tr>
      <w:tr>
        <w:tc>
          <w:tcPr>
            <w:tcW w:type="dxa" w:w="4896"/>
            <w:vAlign w:val="top"/>
          </w:tcPr>
          <w:p>
            <w:r>
              <w:rPr>
                <w:sz w:val="16"/>
              </w:rPr>
            </w:r>
            <w:r>
              <w:rPr>
                <w:rFonts w:ascii="Times New Roman" w:hAnsi="Times New Roman"/>
                <w:b w:val="0"/>
                <w:sz w:val="16"/>
              </w:rPr>
              <w:t>D2 Sensory / Input</w:t>
            </w:r>
          </w:p>
        </w:tc>
        <w:tc>
          <w:tcPr>
            <w:tcW w:type="dxa" w:w="4896"/>
            <w:vAlign w:val="top"/>
          </w:tcPr>
          <w:p>
            <w:r>
              <w:rPr>
                <w:sz w:val="16"/>
              </w:rPr>
            </w:r>
            <w:r>
              <w:rPr>
                <w:rFonts w:ascii="Times New Roman" w:hAnsi="Times New Roman"/>
                <w:b w:val="0"/>
                <w:sz w:val="16"/>
              </w:rPr>
              <w:t>Rejuvenation signals, reprogramming signals, niche signals, stress signals</w:t>
            </w:r>
          </w:p>
        </w:tc>
      </w:tr>
      <w:tr>
        <w:tc>
          <w:tcPr>
            <w:tcW w:type="dxa" w:w="4896"/>
            <w:vAlign w:val="top"/>
          </w:tcPr>
          <w:p>
            <w:r>
              <w:rPr>
                <w:sz w:val="16"/>
              </w:rPr>
            </w:r>
            <w:r>
              <w:rPr>
                <w:rFonts w:ascii="Times New Roman" w:hAnsi="Times New Roman"/>
                <w:b w:val="0"/>
                <w:sz w:val="16"/>
              </w:rPr>
              <w:t>D3 Signal Translation</w:t>
            </w:r>
          </w:p>
        </w:tc>
        <w:tc>
          <w:tcPr>
            <w:tcW w:type="dxa" w:w="4896"/>
            <w:vAlign w:val="top"/>
          </w:tcPr>
          <w:p>
            <w:r>
              <w:rPr>
                <w:sz w:val="16"/>
              </w:rPr>
            </w:r>
            <w:r>
              <w:rPr>
                <w:rFonts w:ascii="Times New Roman" w:hAnsi="Times New Roman"/>
                <w:b w:val="0"/>
                <w:sz w:val="16"/>
              </w:rPr>
              <w:t>How reset signals alter epigenetic, transcriptional, or regulatory states</w:t>
            </w:r>
          </w:p>
        </w:tc>
      </w:tr>
      <w:tr>
        <w:tc>
          <w:tcPr>
            <w:tcW w:type="dxa" w:w="4896"/>
            <w:vAlign w:val="top"/>
          </w:tcPr>
          <w:p>
            <w:r>
              <w:rPr>
                <w:sz w:val="16"/>
              </w:rPr>
            </w:r>
            <w:r>
              <w:rPr>
                <w:rFonts w:ascii="Times New Roman" w:hAnsi="Times New Roman"/>
                <w:b w:val="0"/>
                <w:sz w:val="16"/>
              </w:rPr>
              <w:t>D4 Network Integration</w:t>
            </w:r>
          </w:p>
        </w:tc>
        <w:tc>
          <w:tcPr>
            <w:tcW w:type="dxa" w:w="4896"/>
            <w:vAlign w:val="top"/>
          </w:tcPr>
          <w:p>
            <w:r>
              <w:rPr>
                <w:sz w:val="16"/>
              </w:rPr>
            </w:r>
            <w:r>
              <w:rPr>
                <w:rFonts w:ascii="Times New Roman" w:hAnsi="Times New Roman"/>
                <w:b w:val="0"/>
                <w:sz w:val="16"/>
              </w:rPr>
              <w:t>Cell-to-tissue communication, regulatory network alignment, lineage network stability</w:t>
            </w:r>
          </w:p>
        </w:tc>
      </w:tr>
      <w:tr>
        <w:tc>
          <w:tcPr>
            <w:tcW w:type="dxa" w:w="4896"/>
            <w:vAlign w:val="top"/>
          </w:tcPr>
          <w:p>
            <w:r>
              <w:rPr>
                <w:sz w:val="16"/>
              </w:rPr>
            </w:r>
            <w:r>
              <w:rPr>
                <w:rFonts w:ascii="Times New Roman" w:hAnsi="Times New Roman"/>
                <w:b w:val="0"/>
                <w:sz w:val="16"/>
              </w:rPr>
              <w:t>D5 Coherence</w:t>
            </w:r>
          </w:p>
        </w:tc>
        <w:tc>
          <w:tcPr>
            <w:tcW w:type="dxa" w:w="4896"/>
            <w:vAlign w:val="top"/>
          </w:tcPr>
          <w:p>
            <w:r>
              <w:rPr>
                <w:sz w:val="16"/>
              </w:rPr>
            </w:r>
            <w:r>
              <w:rPr>
                <w:rFonts w:ascii="Times New Roman" w:hAnsi="Times New Roman"/>
                <w:b w:val="0"/>
                <w:sz w:val="16"/>
              </w:rPr>
              <w:t>Stability between age-marker reset, function, identity, and safety</w:t>
            </w:r>
          </w:p>
        </w:tc>
      </w:tr>
      <w:tr>
        <w:tc>
          <w:tcPr>
            <w:tcW w:type="dxa" w:w="4896"/>
            <w:vAlign w:val="top"/>
          </w:tcPr>
          <w:p>
            <w:r>
              <w:rPr>
                <w:sz w:val="16"/>
              </w:rPr>
            </w:r>
            <w:r>
              <w:rPr>
                <w:rFonts w:ascii="Times New Roman" w:hAnsi="Times New Roman"/>
                <w:b w:val="0"/>
                <w:sz w:val="16"/>
              </w:rPr>
              <w:t>D6 Compensation / Reserve</w:t>
            </w:r>
          </w:p>
        </w:tc>
        <w:tc>
          <w:tcPr>
            <w:tcW w:type="dxa" w:w="4896"/>
            <w:vAlign w:val="top"/>
          </w:tcPr>
          <w:p>
            <w:r>
              <w:rPr>
                <w:sz w:val="16"/>
              </w:rPr>
            </w:r>
            <w:r>
              <w:rPr>
                <w:rFonts w:ascii="Times New Roman" w:hAnsi="Times New Roman"/>
                <w:b w:val="0"/>
                <w:sz w:val="16"/>
              </w:rPr>
              <w:t>Repair capacity, stress response, genome-maintenance reserve</w:t>
            </w:r>
          </w:p>
        </w:tc>
      </w:tr>
      <w:tr>
        <w:tc>
          <w:tcPr>
            <w:tcW w:type="dxa" w:w="4896"/>
            <w:vAlign w:val="top"/>
          </w:tcPr>
          <w:p>
            <w:r>
              <w:rPr>
                <w:sz w:val="16"/>
              </w:rPr>
            </w:r>
            <w:r>
              <w:rPr>
                <w:rFonts w:ascii="Times New Roman" w:hAnsi="Times New Roman"/>
                <w:b w:val="0"/>
                <w:sz w:val="16"/>
              </w:rPr>
              <w:t>D7 Environment / Context</w:t>
            </w:r>
          </w:p>
        </w:tc>
        <w:tc>
          <w:tcPr>
            <w:tcW w:type="dxa" w:w="4896"/>
            <w:vAlign w:val="top"/>
          </w:tcPr>
          <w:p>
            <w:r>
              <w:rPr>
                <w:sz w:val="16"/>
              </w:rPr>
            </w:r>
            <w:r>
              <w:rPr>
                <w:rFonts w:ascii="Times New Roman" w:hAnsi="Times New Roman"/>
                <w:b w:val="0"/>
                <w:sz w:val="16"/>
              </w:rPr>
              <w:t>Tissue niche, extracellular environment, immune context, metabolic context</w:t>
            </w:r>
          </w:p>
        </w:tc>
      </w:tr>
      <w:tr>
        <w:tc>
          <w:tcPr>
            <w:tcW w:type="dxa" w:w="4896"/>
            <w:vAlign w:val="top"/>
          </w:tcPr>
          <w:p>
            <w:r>
              <w:rPr>
                <w:sz w:val="16"/>
              </w:rPr>
            </w:r>
            <w:r>
              <w:rPr>
                <w:rFonts w:ascii="Times New Roman" w:hAnsi="Times New Roman"/>
                <w:b w:val="0"/>
                <w:sz w:val="16"/>
              </w:rPr>
              <w:t>D8 Temporal Development</w:t>
            </w:r>
          </w:p>
        </w:tc>
        <w:tc>
          <w:tcPr>
            <w:tcW w:type="dxa" w:w="4896"/>
            <w:vAlign w:val="top"/>
          </w:tcPr>
          <w:p>
            <w:r>
              <w:rPr>
                <w:sz w:val="16"/>
              </w:rPr>
            </w:r>
            <w:r>
              <w:rPr>
                <w:rFonts w:ascii="Times New Roman" w:hAnsi="Times New Roman"/>
                <w:b w:val="0"/>
                <w:sz w:val="16"/>
              </w:rPr>
              <w:t>Biological age, epigenetic age, reset timing, partial reversal, time mismatch</w:t>
            </w:r>
          </w:p>
        </w:tc>
      </w:tr>
      <w:tr>
        <w:tc>
          <w:tcPr>
            <w:tcW w:type="dxa" w:w="4896"/>
            <w:vAlign w:val="top"/>
          </w:tcPr>
          <w:p>
            <w:r>
              <w:rPr>
                <w:sz w:val="16"/>
              </w:rPr>
            </w:r>
            <w:r>
              <w:rPr>
                <w:rFonts w:ascii="Times New Roman" w:hAnsi="Times New Roman"/>
                <w:b w:val="0"/>
                <w:sz w:val="16"/>
              </w:rPr>
              <w:t>D9 Identity / Meaning</w:t>
            </w:r>
          </w:p>
        </w:tc>
        <w:tc>
          <w:tcPr>
            <w:tcW w:type="dxa" w:w="4896"/>
            <w:vAlign w:val="top"/>
          </w:tcPr>
          <w:p>
            <w:r>
              <w:rPr>
                <w:sz w:val="16"/>
              </w:rPr>
            </w:r>
            <w:r>
              <w:rPr>
                <w:rFonts w:ascii="Times New Roman" w:hAnsi="Times New Roman"/>
                <w:b w:val="0"/>
                <w:sz w:val="16"/>
              </w:rPr>
              <w:t>Cell identity, lineage memory, functional role, tissue belonging</w:t>
            </w:r>
          </w:p>
        </w:tc>
      </w:tr>
      <w:tr>
        <w:tc>
          <w:tcPr>
            <w:tcW w:type="dxa" w:w="4896"/>
            <w:vAlign w:val="top"/>
          </w:tcPr>
          <w:p>
            <w:r>
              <w:rPr>
                <w:sz w:val="16"/>
              </w:rPr>
            </w:r>
            <w:r>
              <w:rPr>
                <w:rFonts w:ascii="Times New Roman" w:hAnsi="Times New Roman"/>
                <w:b w:val="0"/>
                <w:sz w:val="16"/>
              </w:rPr>
              <w:t>D10 Safety / Boundary</w:t>
            </w:r>
          </w:p>
        </w:tc>
        <w:tc>
          <w:tcPr>
            <w:tcW w:type="dxa" w:w="4896"/>
            <w:vAlign w:val="top"/>
          </w:tcPr>
          <w:p>
            <w:r>
              <w:rPr>
                <w:sz w:val="16"/>
              </w:rPr>
            </w:r>
            <w:r>
              <w:rPr>
                <w:rFonts w:ascii="Times New Roman" w:hAnsi="Times New Roman"/>
                <w:b w:val="0"/>
                <w:sz w:val="16"/>
              </w:rPr>
              <w:t>No protocol, no human-use instruction, no safety bypass, no clinical claim</w:t>
            </w:r>
          </w:p>
        </w:tc>
      </w:tr>
      <w:tr>
        <w:tc>
          <w:tcPr>
            <w:tcW w:type="dxa" w:w="4896"/>
            <w:vAlign w:val="top"/>
          </w:tcPr>
          <w:p>
            <w:r>
              <w:rPr>
                <w:sz w:val="16"/>
              </w:rPr>
            </w:r>
            <w:r>
              <w:rPr>
                <w:rFonts w:ascii="Times New Roman" w:hAnsi="Times New Roman"/>
                <w:b w:val="0"/>
                <w:sz w:val="16"/>
              </w:rPr>
              <w:t>D11 Research Output</w:t>
            </w:r>
          </w:p>
        </w:tc>
        <w:tc>
          <w:tcPr>
            <w:tcW w:type="dxa" w:w="4896"/>
            <w:vAlign w:val="top"/>
          </w:tcPr>
          <w:p>
            <w:r>
              <w:rPr>
                <w:sz w:val="16"/>
              </w:rPr>
            </w:r>
            <w:r>
              <w:rPr>
                <w:rFonts w:ascii="Times New Roman" w:hAnsi="Times New Roman"/>
                <w:b w:val="0"/>
                <w:sz w:val="16"/>
              </w:rPr>
              <w:t>Identity-time stability map for conceptual analysis</w:t>
            </w:r>
          </w:p>
        </w:tc>
      </w:tr>
    </w:tbl>
    <w:p>
      <w:pPr>
        <w:pStyle w:val="Heading2"/>
      </w:pPr>
      <w:r>
        <w:t>6.5 Conceptual Experiment</w:t>
      </w:r>
    </w:p>
    <w:p>
      <w:r>
        <w:t>Experiment Name: Cellular Rejuvenation / Identity-Time Stability Experiment</w:t>
      </w:r>
    </w:p>
    <w:p>
      <w:r>
        <w:t>Experiment Question: Can cellular rejuvenation be modeled as a time-reset paradox in which biological age markers shift while cellular identity and safety must remain coherent?</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Variable</w:t>
            </w:r>
          </w:p>
        </w:tc>
        <w:tc>
          <w:tcPr>
            <w:tcW w:type="dxa" w:w="4896"/>
            <w:vAlign w:val="top"/>
            <w:shd w:fill="D9EAF7"/>
          </w:tcPr>
          <w:p>
            <w:r>
              <w:rPr>
                <w:sz w:val="16"/>
              </w:rPr>
            </w:r>
            <w:r>
              <w:rPr>
                <w:rFonts w:ascii="Times New Roman" w:hAnsi="Times New Roman"/>
                <w:b/>
                <w:sz w:val="16"/>
              </w:rPr>
              <w:t>Description</w:t>
            </w:r>
          </w:p>
        </w:tc>
      </w:tr>
      <w:tr>
        <w:tc>
          <w:tcPr>
            <w:tcW w:type="dxa" w:w="4896"/>
            <w:vAlign w:val="top"/>
          </w:tcPr>
          <w:p>
            <w:r>
              <w:rPr>
                <w:sz w:val="16"/>
              </w:rPr>
            </w:r>
            <w:r>
              <w:rPr>
                <w:rFonts w:ascii="Times New Roman" w:hAnsi="Times New Roman"/>
                <w:b w:val="0"/>
                <w:sz w:val="16"/>
              </w:rPr>
              <w:t>A_age</w:t>
            </w:r>
          </w:p>
        </w:tc>
        <w:tc>
          <w:tcPr>
            <w:tcW w:type="dxa" w:w="4896"/>
            <w:vAlign w:val="top"/>
          </w:tcPr>
          <w:p>
            <w:r>
              <w:rPr>
                <w:sz w:val="16"/>
              </w:rPr>
            </w:r>
            <w:r>
              <w:rPr>
                <w:rFonts w:ascii="Times New Roman" w:hAnsi="Times New Roman"/>
                <w:b w:val="0"/>
                <w:sz w:val="16"/>
              </w:rPr>
              <w:t>Biological / epigenetic age marker state</w:t>
            </w:r>
          </w:p>
        </w:tc>
      </w:tr>
      <w:tr>
        <w:tc>
          <w:tcPr>
            <w:tcW w:type="dxa" w:w="4896"/>
            <w:vAlign w:val="top"/>
          </w:tcPr>
          <w:p>
            <w:r>
              <w:rPr>
                <w:sz w:val="16"/>
              </w:rPr>
            </w:r>
            <w:r>
              <w:rPr>
                <w:rFonts w:ascii="Times New Roman" w:hAnsi="Times New Roman"/>
                <w:b w:val="0"/>
                <w:sz w:val="16"/>
              </w:rPr>
              <w:t>R_reset</w:t>
            </w:r>
          </w:p>
        </w:tc>
        <w:tc>
          <w:tcPr>
            <w:tcW w:type="dxa" w:w="4896"/>
            <w:vAlign w:val="top"/>
          </w:tcPr>
          <w:p>
            <w:r>
              <w:rPr>
                <w:sz w:val="16"/>
              </w:rPr>
            </w:r>
            <w:r>
              <w:rPr>
                <w:rFonts w:ascii="Times New Roman" w:hAnsi="Times New Roman"/>
                <w:b w:val="0"/>
                <w:sz w:val="16"/>
              </w:rPr>
              <w:t>Reset signal intensity</w:t>
            </w:r>
          </w:p>
        </w:tc>
      </w:tr>
      <w:tr>
        <w:tc>
          <w:tcPr>
            <w:tcW w:type="dxa" w:w="4896"/>
            <w:vAlign w:val="top"/>
          </w:tcPr>
          <w:p>
            <w:r>
              <w:rPr>
                <w:sz w:val="16"/>
              </w:rPr>
            </w:r>
            <w:r>
              <w:rPr>
                <w:rFonts w:ascii="Times New Roman" w:hAnsi="Times New Roman"/>
                <w:b w:val="0"/>
                <w:sz w:val="16"/>
              </w:rPr>
              <w:t>I_identity</w:t>
            </w:r>
          </w:p>
        </w:tc>
        <w:tc>
          <w:tcPr>
            <w:tcW w:type="dxa" w:w="4896"/>
            <w:vAlign w:val="top"/>
          </w:tcPr>
          <w:p>
            <w:r>
              <w:rPr>
                <w:sz w:val="16"/>
              </w:rPr>
            </w:r>
            <w:r>
              <w:rPr>
                <w:rFonts w:ascii="Times New Roman" w:hAnsi="Times New Roman"/>
                <w:b w:val="0"/>
                <w:sz w:val="16"/>
              </w:rPr>
              <w:t>Cellular identity retention</w:t>
            </w:r>
          </w:p>
        </w:tc>
      </w:tr>
      <w:tr>
        <w:tc>
          <w:tcPr>
            <w:tcW w:type="dxa" w:w="4896"/>
            <w:vAlign w:val="top"/>
          </w:tcPr>
          <w:p>
            <w:r>
              <w:rPr>
                <w:sz w:val="16"/>
              </w:rPr>
            </w:r>
            <w:r>
              <w:rPr>
                <w:rFonts w:ascii="Times New Roman" w:hAnsi="Times New Roman"/>
                <w:b w:val="0"/>
                <w:sz w:val="16"/>
              </w:rPr>
              <w:t>G_genome</w:t>
            </w:r>
          </w:p>
        </w:tc>
        <w:tc>
          <w:tcPr>
            <w:tcW w:type="dxa" w:w="4896"/>
            <w:vAlign w:val="top"/>
          </w:tcPr>
          <w:p>
            <w:r>
              <w:rPr>
                <w:sz w:val="16"/>
              </w:rPr>
            </w:r>
            <w:r>
              <w:rPr>
                <w:rFonts w:ascii="Times New Roman" w:hAnsi="Times New Roman"/>
                <w:b w:val="0"/>
                <w:sz w:val="16"/>
              </w:rPr>
              <w:t>Genomic stability</w:t>
            </w:r>
          </w:p>
        </w:tc>
      </w:tr>
      <w:tr>
        <w:tc>
          <w:tcPr>
            <w:tcW w:type="dxa" w:w="4896"/>
            <w:vAlign w:val="top"/>
          </w:tcPr>
          <w:p>
            <w:r>
              <w:rPr>
                <w:sz w:val="16"/>
              </w:rPr>
            </w:r>
            <w:r>
              <w:rPr>
                <w:rFonts w:ascii="Times New Roman" w:hAnsi="Times New Roman"/>
                <w:b w:val="0"/>
                <w:sz w:val="16"/>
              </w:rPr>
              <w:t>D_dediff</w:t>
            </w:r>
          </w:p>
        </w:tc>
        <w:tc>
          <w:tcPr>
            <w:tcW w:type="dxa" w:w="4896"/>
            <w:vAlign w:val="top"/>
          </w:tcPr>
          <w:p>
            <w:r>
              <w:rPr>
                <w:sz w:val="16"/>
              </w:rPr>
            </w:r>
            <w:r>
              <w:rPr>
                <w:rFonts w:ascii="Times New Roman" w:hAnsi="Times New Roman"/>
                <w:b w:val="0"/>
                <w:sz w:val="16"/>
              </w:rPr>
              <w:t>Dedifferentiation risk</w:t>
            </w:r>
          </w:p>
        </w:tc>
      </w:tr>
      <w:tr>
        <w:tc>
          <w:tcPr>
            <w:tcW w:type="dxa" w:w="4896"/>
            <w:vAlign w:val="top"/>
          </w:tcPr>
          <w:p>
            <w:r>
              <w:rPr>
                <w:sz w:val="16"/>
              </w:rPr>
            </w:r>
            <w:r>
              <w:rPr>
                <w:rFonts w:ascii="Times New Roman" w:hAnsi="Times New Roman"/>
                <w:b w:val="0"/>
                <w:sz w:val="16"/>
              </w:rPr>
              <w:t>T_tumor</w:t>
            </w:r>
          </w:p>
        </w:tc>
        <w:tc>
          <w:tcPr>
            <w:tcW w:type="dxa" w:w="4896"/>
            <w:vAlign w:val="top"/>
          </w:tcPr>
          <w:p>
            <w:r>
              <w:rPr>
                <w:sz w:val="16"/>
              </w:rPr>
            </w:r>
            <w:r>
              <w:rPr>
                <w:rFonts w:ascii="Times New Roman" w:hAnsi="Times New Roman"/>
                <w:b w:val="0"/>
                <w:sz w:val="16"/>
              </w:rPr>
              <w:t>Tumor drift risk</w:t>
            </w:r>
          </w:p>
        </w:tc>
      </w:tr>
      <w:tr>
        <w:tc>
          <w:tcPr>
            <w:tcW w:type="dxa" w:w="4896"/>
            <w:vAlign w:val="top"/>
          </w:tcPr>
          <w:p>
            <w:r>
              <w:rPr>
                <w:sz w:val="16"/>
              </w:rPr>
            </w:r>
            <w:r>
              <w:rPr>
                <w:rFonts w:ascii="Times New Roman" w:hAnsi="Times New Roman"/>
                <w:b w:val="0"/>
                <w:sz w:val="16"/>
              </w:rPr>
              <w:t>N_niche</w:t>
            </w:r>
          </w:p>
        </w:tc>
        <w:tc>
          <w:tcPr>
            <w:tcW w:type="dxa" w:w="4896"/>
            <w:vAlign w:val="top"/>
          </w:tcPr>
          <w:p>
            <w:r>
              <w:rPr>
                <w:sz w:val="16"/>
              </w:rPr>
            </w:r>
            <w:r>
              <w:rPr>
                <w:rFonts w:ascii="Times New Roman" w:hAnsi="Times New Roman"/>
                <w:b w:val="0"/>
                <w:sz w:val="16"/>
              </w:rPr>
              <w:t>Tissue niche support</w:t>
            </w:r>
          </w:p>
        </w:tc>
      </w:tr>
      <w:tr>
        <w:tc>
          <w:tcPr>
            <w:tcW w:type="dxa" w:w="4896"/>
            <w:vAlign w:val="top"/>
          </w:tcPr>
          <w:p>
            <w:r>
              <w:rPr>
                <w:sz w:val="16"/>
              </w:rPr>
            </w:r>
            <w:r>
              <w:rPr>
                <w:rFonts w:ascii="Times New Roman" w:hAnsi="Times New Roman"/>
                <w:b w:val="0"/>
                <w:sz w:val="16"/>
              </w:rPr>
              <w:t>C_coherence</w:t>
            </w:r>
          </w:p>
        </w:tc>
        <w:tc>
          <w:tcPr>
            <w:tcW w:type="dxa" w:w="4896"/>
            <w:vAlign w:val="top"/>
          </w:tcPr>
          <w:p>
            <w:r>
              <w:rPr>
                <w:sz w:val="16"/>
              </w:rPr>
            </w:r>
            <w:r>
              <w:rPr>
                <w:rFonts w:ascii="Times New Roman" w:hAnsi="Times New Roman"/>
                <w:b w:val="0"/>
                <w:sz w:val="16"/>
              </w:rPr>
              <w:t>Regulatory coherence</w:t>
            </w:r>
          </w:p>
        </w:tc>
      </w:tr>
      <w:tr>
        <w:tc>
          <w:tcPr>
            <w:tcW w:type="dxa" w:w="4896"/>
            <w:vAlign w:val="top"/>
          </w:tcPr>
          <w:p>
            <w:r>
              <w:rPr>
                <w:sz w:val="16"/>
              </w:rPr>
            </w:r>
            <w:r>
              <w:rPr>
                <w:rFonts w:ascii="Times New Roman" w:hAnsi="Times New Roman"/>
                <w:b w:val="0"/>
                <w:sz w:val="16"/>
              </w:rPr>
              <w:t>M_memory</w:t>
            </w:r>
          </w:p>
        </w:tc>
        <w:tc>
          <w:tcPr>
            <w:tcW w:type="dxa" w:w="4896"/>
            <w:vAlign w:val="top"/>
          </w:tcPr>
          <w:p>
            <w:r>
              <w:rPr>
                <w:sz w:val="16"/>
              </w:rPr>
            </w:r>
            <w:r>
              <w:rPr>
                <w:rFonts w:ascii="Times New Roman" w:hAnsi="Times New Roman"/>
                <w:b w:val="0"/>
                <w:sz w:val="16"/>
              </w:rPr>
              <w:t>Epigenetic / lineage memory</w:t>
            </w:r>
          </w:p>
        </w:tc>
      </w:tr>
      <w:tr>
        <w:tc>
          <w:tcPr>
            <w:tcW w:type="dxa" w:w="4896"/>
            <w:vAlign w:val="top"/>
          </w:tcPr>
          <w:p>
            <w:r>
              <w:rPr>
                <w:sz w:val="16"/>
              </w:rPr>
            </w:r>
            <w:r>
              <w:rPr>
                <w:rFonts w:ascii="Times New Roman" w:hAnsi="Times New Roman"/>
                <w:b w:val="0"/>
                <w:sz w:val="16"/>
              </w:rPr>
              <w:t>S_safety</w:t>
            </w:r>
          </w:p>
        </w:tc>
        <w:tc>
          <w:tcPr>
            <w:tcW w:type="dxa" w:w="4896"/>
            <w:vAlign w:val="top"/>
          </w:tcPr>
          <w:p>
            <w:r>
              <w:rPr>
                <w:sz w:val="16"/>
              </w:rPr>
            </w:r>
            <w:r>
              <w:rPr>
                <w:rFonts w:ascii="Times New Roman" w:hAnsi="Times New Roman"/>
                <w:b w:val="0"/>
                <w:sz w:val="16"/>
              </w:rPr>
              <w:t>Safety boundary strength</w:t>
            </w:r>
          </w:p>
        </w:tc>
      </w:tr>
      <w:tr>
        <w:tc>
          <w:tcPr>
            <w:tcW w:type="dxa" w:w="4896"/>
            <w:vAlign w:val="top"/>
          </w:tcPr>
          <w:p>
            <w:r>
              <w:rPr>
                <w:sz w:val="16"/>
              </w:rPr>
            </w:r>
            <w:r>
              <w:rPr>
                <w:rFonts w:ascii="Times New Roman" w:hAnsi="Times New Roman"/>
                <w:b w:val="0"/>
                <w:sz w:val="16"/>
              </w:rPr>
              <w:t>B_block</w:t>
            </w:r>
          </w:p>
        </w:tc>
        <w:tc>
          <w:tcPr>
            <w:tcW w:type="dxa" w:w="4896"/>
            <w:vAlign w:val="top"/>
          </w:tcPr>
          <w:p>
            <w:r>
              <w:rPr>
                <w:sz w:val="16"/>
              </w:rPr>
            </w:r>
            <w:r>
              <w:rPr>
                <w:rFonts w:ascii="Times New Roman" w:hAnsi="Times New Roman"/>
                <w:b w:val="0"/>
                <w:sz w:val="16"/>
              </w:rPr>
              <w:t>Blockage intensity</w:t>
            </w:r>
          </w:p>
        </w:tc>
      </w:tr>
    </w:tbl>
    <w:p>
      <w:pPr>
        <w:pStyle w:val="CodeBlock"/>
      </w:pPr>
      <w:r>
        <w:rPr>
          <w:rFonts w:ascii="Courier New" w:hAnsi="Courier New"/>
          <w:sz w:val="18"/>
        </w:rPr>
        <w:t>B_block = (R_reset × D_dediff × T_tumor) / (I_identity × G_genome × C_coherence × S_safety)</w:t>
      </w:r>
    </w:p>
    <w:p>
      <w:r>
        <w:t>If reset pressure increases while identity retention, genomic stability, regulatory coherence, and safety boundaries are weak, blockage intensity increases. If identity, genome stability, coherence, and safety remain strong, partial age-marker shift may be interpreted more safely at the conceptual level. This equation is symbolic only. It is not a biological protocol, laboratory instruction, treatment pathway, or safety validation method.</w:t>
      </w:r>
    </w:p>
    <w:p>
      <w:pPr>
        <w:pStyle w:val="Heading2"/>
      </w:pPr>
      <w:r>
        <w:t>6.6 Conceptual Findings</w:t>
      </w:r>
    </w:p>
    <w:p>
      <w:pPr>
        <w:pStyle w:val="ListBullet"/>
      </w:pPr>
      <w:r>
        <w:t>Younger Markers Do Not Equal Safe Cells - A reduction in biological age markers does not automatically prove functional stability or safety (Horvath, 2013; Simpson et al., 2021).</w:t>
      </w:r>
    </w:p>
    <w:p>
      <w:pPr>
        <w:pStyle w:val="ListBullet"/>
      </w:pPr>
      <w:r>
        <w:t>Identity Is the Anchor - Cellular identity must remain stable if rejuvenation is to be interpreted as meaningful rather than destabilizing (Simpson et al., 2021; Jo et al., 2025).</w:t>
      </w:r>
    </w:p>
    <w:p>
      <w:pPr>
        <w:pStyle w:val="ListBullet"/>
      </w:pPr>
      <w:r>
        <w:t>Partial Reset Creates a Boundary Problem - The central risk is not only whether age can shift, but whether the cell remains itself after the shift (Ocampo et al., 2016; Paine et al., 2024).</w:t>
      </w:r>
    </w:p>
    <w:p>
      <w:pPr>
        <w:pStyle w:val="ListBullet"/>
      </w:pPr>
      <w:r>
        <w:t>Safety Must Be Structural - Safety cannot be added at the end. It must exist as a boundary layer throughout the model (Yücel &amp; Gladyshev, 2024).</w:t>
      </w:r>
    </w:p>
    <w:p>
      <w:pPr>
        <w:pStyle w:val="ListBullet"/>
      </w:pPr>
      <w:r>
        <w:t>Time Is Not One Directional Variable - Biological time may shift in some molecular markers while other layers remain unchanged, lag behind, or become unstable (Horvath, 2013).</w:t>
      </w:r>
    </w:p>
    <w:p>
      <w:pPr>
        <w:pStyle w:val="ListBullet"/>
      </w:pPr>
      <w:r>
        <w:t>Rejuvenation Requires Coherence, Not Only Reset - The EIT model treats coherence as the difference between a meaningful biological shift and a dangerous instability.</w:t>
      </w:r>
    </w:p>
    <w:p>
      <w:pPr>
        <w:pStyle w:val="Heading2"/>
      </w:pPr>
      <w:r>
        <w:t>6.7 Article 7 Safety Check</w:t>
      </w:r>
    </w:p>
    <w:p>
      <w:pPr>
        <w:pStyle w:val="ListBullet"/>
      </w:pPr>
      <w:r>
        <w:t>No human-use protocol</w:t>
      </w:r>
    </w:p>
    <w:p>
      <w:pPr>
        <w:pStyle w:val="ListBullet"/>
      </w:pPr>
      <w:r>
        <w:t>No laboratory protocol</w:t>
      </w:r>
    </w:p>
    <w:p>
      <w:pPr>
        <w:pStyle w:val="ListBullet"/>
      </w:pPr>
      <w:r>
        <w:t>No dosing</w:t>
      </w:r>
    </w:p>
    <w:p>
      <w:pPr>
        <w:pStyle w:val="ListBullet"/>
      </w:pPr>
      <w:r>
        <w:t>No genetic engineering instructions</w:t>
      </w:r>
    </w:p>
    <w:p>
      <w:pPr>
        <w:pStyle w:val="ListBullet"/>
      </w:pPr>
      <w:r>
        <w:t>No cell-culture instructions</w:t>
      </w:r>
    </w:p>
    <w:p>
      <w:pPr>
        <w:pStyle w:val="ListBullet"/>
      </w:pPr>
      <w:r>
        <w:t>No intervention pathway</w:t>
      </w:r>
    </w:p>
    <w:p>
      <w:pPr>
        <w:pStyle w:val="ListBullet"/>
      </w:pPr>
      <w:r>
        <w:t>No clinical recommendation</w:t>
      </w:r>
    </w:p>
    <w:p>
      <w:pPr>
        <w:pStyle w:val="ListBullet"/>
      </w:pPr>
      <w:r>
        <w:t>No treatment claim</w:t>
      </w:r>
    </w:p>
    <w:p>
      <w:pPr>
        <w:pStyle w:val="ListBullet"/>
      </w:pPr>
      <w:r>
        <w:t>No rejuvenation claim</w:t>
      </w:r>
    </w:p>
    <w:p>
      <w:pPr>
        <w:pStyle w:val="ListBullet"/>
      </w:pPr>
      <w:r>
        <w:t>No safety bypass</w:t>
      </w:r>
    </w:p>
    <w:p>
      <w:pPr>
        <w:pStyle w:val="ListBullet"/>
      </w:pPr>
      <w:r>
        <w:t>No claim of validated biological control</w:t>
      </w:r>
    </w:p>
    <w:p>
      <w:r>
        <w:t>Any real-world work involving cellular reprogramming, biological rejuvenation, genetic manipulation, or clinical translation requires institutional oversight, ethical review, qualified scientific supervision, and validated safety systems.</w:t>
      </w:r>
    </w:p>
    <w:p>
      <w:pPr>
        <w:pStyle w:val="Heading1"/>
      </w:pPr>
      <w:r>
        <w:t>7. Comparative Synthesis</w:t>
      </w:r>
    </w:p>
    <w:p>
      <w:pPr>
        <w:pStyle w:val="Heading2"/>
      </w:pPr>
      <w:r>
        <w:t>7.1 Synthesis Purpose</w:t>
      </w:r>
    </w:p>
    <w:p>
      <w:r>
        <w:t>The purpose of this section is to integrate the three conceptual experiments into one coherent NOVA Q / EIT research architecture. The framework does not compare autism, multiple sclerosis, and cellular rejuvenation as diseases, treatments, or clinical categories. It compares them as paradox structures.</w:t>
      </w:r>
    </w:p>
    <w:p>
      <w:pPr>
        <w:spacing w:before="60" w:after="80"/>
        <w:ind w:left="504" w:right="288"/>
      </w:pPr>
      <w:r>
        <w:rPr>
          <w:i/>
          <w:color w:val="375573"/>
          <w:sz w:val="22"/>
        </w:rPr>
        <w:t>"Where does the visible state fail to explain the hidden system condition?"</w:t>
      </w:r>
    </w:p>
    <w:p>
      <w:pPr>
        <w:spacing w:before="60" w:after="80"/>
        <w:ind w:left="504" w:right="288"/>
      </w:pPr>
      <w:r>
        <w:rPr>
          <w:i/>
          <w:color w:val="375573"/>
          <w:sz w:val="22"/>
        </w:rPr>
        <w:t>"Visible structure alone is incomplete unless hidden flow, coherence, compensation, timing, identity, and safety are also mapped."</w:t>
      </w:r>
    </w:p>
    <w:p>
      <w:pPr>
        <w:pStyle w:val="Heading2"/>
      </w:pPr>
      <w:r>
        <w:t>7.2 Comparative Table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vAlign w:val="top"/>
            <w:shd w:fill="D9EAF7"/>
          </w:tcPr>
          <w:p>
            <w:r>
              <w:rPr>
                <w:sz w:val="16"/>
              </w:rPr>
            </w:r>
            <w:r>
              <w:rPr>
                <w:rFonts w:ascii="Times New Roman" w:hAnsi="Times New Roman"/>
                <w:b/>
                <w:sz w:val="16"/>
              </w:rPr>
              <w:t>Category</w:t>
            </w:r>
          </w:p>
        </w:tc>
        <w:tc>
          <w:tcPr>
            <w:tcW w:type="dxa" w:w="2448"/>
            <w:vAlign w:val="top"/>
            <w:shd w:fill="D9EAF7"/>
          </w:tcPr>
          <w:p>
            <w:r>
              <w:rPr>
                <w:sz w:val="16"/>
              </w:rPr>
            </w:r>
            <w:r>
              <w:rPr>
                <w:rFonts w:ascii="Times New Roman" w:hAnsi="Times New Roman"/>
                <w:b/>
                <w:sz w:val="16"/>
              </w:rPr>
              <w:t>Experiment 1: Autism</w:t>
            </w:r>
          </w:p>
        </w:tc>
        <w:tc>
          <w:tcPr>
            <w:tcW w:type="dxa" w:w="2448"/>
            <w:vAlign w:val="top"/>
            <w:shd w:fill="D9EAF7"/>
          </w:tcPr>
          <w:p>
            <w:r>
              <w:rPr>
                <w:sz w:val="16"/>
              </w:rPr>
            </w:r>
            <w:r>
              <w:rPr>
                <w:rFonts w:ascii="Times New Roman" w:hAnsi="Times New Roman"/>
                <w:b/>
                <w:sz w:val="16"/>
              </w:rPr>
              <w:t>Experiment 2: Multiple Sclerosis</w:t>
            </w:r>
          </w:p>
        </w:tc>
        <w:tc>
          <w:tcPr>
            <w:tcW w:type="dxa" w:w="2448"/>
            <w:vAlign w:val="top"/>
            <w:shd w:fill="D9EAF7"/>
          </w:tcPr>
          <w:p>
            <w:r>
              <w:rPr>
                <w:sz w:val="16"/>
              </w:rPr>
            </w:r>
            <w:r>
              <w:rPr>
                <w:rFonts w:ascii="Times New Roman" w:hAnsi="Times New Roman"/>
                <w:b/>
                <w:sz w:val="16"/>
              </w:rPr>
              <w:t>Experiment 3: Cellular Rejuvenation</w:t>
            </w:r>
          </w:p>
        </w:tc>
      </w:tr>
      <w:tr>
        <w:tc>
          <w:tcPr>
            <w:tcW w:type="dxa" w:w="2448"/>
            <w:vAlign w:val="top"/>
          </w:tcPr>
          <w:p>
            <w:r>
              <w:rPr>
                <w:sz w:val="16"/>
              </w:rPr>
            </w:r>
            <w:r>
              <w:rPr>
                <w:rFonts w:ascii="Times New Roman" w:hAnsi="Times New Roman"/>
                <w:b w:val="0"/>
                <w:sz w:val="16"/>
              </w:rPr>
              <w:t>Primary Domain</w:t>
            </w:r>
          </w:p>
        </w:tc>
        <w:tc>
          <w:tcPr>
            <w:tcW w:type="dxa" w:w="2448"/>
            <w:vAlign w:val="top"/>
          </w:tcPr>
          <w:p>
            <w:r>
              <w:rPr>
                <w:sz w:val="16"/>
              </w:rPr>
            </w:r>
            <w:r>
              <w:rPr>
                <w:rFonts w:ascii="Times New Roman" w:hAnsi="Times New Roman"/>
                <w:b w:val="0"/>
                <w:sz w:val="16"/>
              </w:rPr>
              <w:t>Neurodevelopmental coherence</w:t>
            </w:r>
          </w:p>
        </w:tc>
        <w:tc>
          <w:tcPr>
            <w:tcW w:type="dxa" w:w="2448"/>
            <w:vAlign w:val="top"/>
          </w:tcPr>
          <w:p>
            <w:r>
              <w:rPr>
                <w:sz w:val="16"/>
              </w:rPr>
            </w:r>
            <w:r>
              <w:rPr>
                <w:rFonts w:ascii="Times New Roman" w:hAnsi="Times New Roman"/>
                <w:b w:val="0"/>
                <w:sz w:val="16"/>
              </w:rPr>
              <w:t>Neuroimmunological / neural network coherence</w:t>
            </w:r>
          </w:p>
        </w:tc>
        <w:tc>
          <w:tcPr>
            <w:tcW w:type="dxa" w:w="2448"/>
            <w:vAlign w:val="top"/>
          </w:tcPr>
          <w:p>
            <w:r>
              <w:rPr>
                <w:sz w:val="16"/>
              </w:rPr>
            </w:r>
            <w:r>
              <w:rPr>
                <w:rFonts w:ascii="Times New Roman" w:hAnsi="Times New Roman"/>
                <w:b w:val="0"/>
                <w:sz w:val="16"/>
              </w:rPr>
              <w:t>Cellular time / identity stability</w:t>
            </w:r>
          </w:p>
        </w:tc>
      </w:tr>
      <w:tr>
        <w:tc>
          <w:tcPr>
            <w:tcW w:type="dxa" w:w="2448"/>
            <w:vAlign w:val="top"/>
          </w:tcPr>
          <w:p>
            <w:r>
              <w:rPr>
                <w:sz w:val="16"/>
              </w:rPr>
            </w:r>
            <w:r>
              <w:rPr>
                <w:rFonts w:ascii="Times New Roman" w:hAnsi="Times New Roman"/>
                <w:b w:val="0"/>
                <w:sz w:val="16"/>
              </w:rPr>
              <w:t>Core Paradox</w:t>
            </w:r>
          </w:p>
        </w:tc>
        <w:tc>
          <w:tcPr>
            <w:tcW w:type="dxa" w:w="2448"/>
            <w:vAlign w:val="top"/>
          </w:tcPr>
          <w:p>
            <w:r>
              <w:rPr>
                <w:sz w:val="16"/>
              </w:rPr>
            </w:r>
            <w:r>
              <w:rPr>
                <w:rFonts w:ascii="Times New Roman" w:hAnsi="Times New Roman"/>
                <w:b w:val="0"/>
                <w:sz w:val="16"/>
              </w:rPr>
              <w:t>Same external world ≠ same internal load</w:t>
            </w:r>
          </w:p>
        </w:tc>
        <w:tc>
          <w:tcPr>
            <w:tcW w:type="dxa" w:w="2448"/>
            <w:vAlign w:val="top"/>
          </w:tcPr>
          <w:p>
            <w:r>
              <w:rPr>
                <w:sz w:val="16"/>
              </w:rPr>
            </w:r>
            <w:r>
              <w:rPr>
                <w:rFonts w:ascii="Times New Roman" w:hAnsi="Times New Roman"/>
                <w:b w:val="0"/>
                <w:sz w:val="16"/>
              </w:rPr>
              <w:t>Visible lesion load ≠ complete functional disruption map</w:t>
            </w:r>
          </w:p>
        </w:tc>
        <w:tc>
          <w:tcPr>
            <w:tcW w:type="dxa" w:w="2448"/>
            <w:vAlign w:val="top"/>
          </w:tcPr>
          <w:p>
            <w:r>
              <w:rPr>
                <w:sz w:val="16"/>
              </w:rPr>
            </w:r>
            <w:r>
              <w:rPr>
                <w:rFonts w:ascii="Times New Roman" w:hAnsi="Times New Roman"/>
                <w:b w:val="0"/>
                <w:sz w:val="16"/>
              </w:rPr>
              <w:t>Age reset ≠ safe identity preservation</w:t>
            </w:r>
          </w:p>
        </w:tc>
      </w:tr>
      <w:tr>
        <w:tc>
          <w:tcPr>
            <w:tcW w:type="dxa" w:w="2448"/>
            <w:vAlign w:val="top"/>
          </w:tcPr>
          <w:p>
            <w:r>
              <w:rPr>
                <w:sz w:val="16"/>
              </w:rPr>
            </w:r>
            <w:r>
              <w:rPr>
                <w:rFonts w:ascii="Times New Roman" w:hAnsi="Times New Roman"/>
                <w:b w:val="0"/>
                <w:sz w:val="16"/>
              </w:rPr>
              <w:t>Visible Layer</w:t>
            </w:r>
          </w:p>
        </w:tc>
        <w:tc>
          <w:tcPr>
            <w:tcW w:type="dxa" w:w="2448"/>
            <w:vAlign w:val="top"/>
          </w:tcPr>
          <w:p>
            <w:r>
              <w:rPr>
                <w:sz w:val="16"/>
              </w:rPr>
            </w:r>
            <w:r>
              <w:rPr>
                <w:rFonts w:ascii="Times New Roman" w:hAnsi="Times New Roman"/>
                <w:b w:val="0"/>
                <w:sz w:val="16"/>
              </w:rPr>
              <w:t>Behavior, communication, sensory response</w:t>
            </w:r>
          </w:p>
        </w:tc>
        <w:tc>
          <w:tcPr>
            <w:tcW w:type="dxa" w:w="2448"/>
            <w:vAlign w:val="top"/>
          </w:tcPr>
          <w:p>
            <w:r>
              <w:rPr>
                <w:sz w:val="16"/>
              </w:rPr>
            </w:r>
            <w:r>
              <w:rPr>
                <w:rFonts w:ascii="Times New Roman" w:hAnsi="Times New Roman"/>
                <w:b w:val="0"/>
                <w:sz w:val="16"/>
              </w:rPr>
              <w:t>MRI-visible lesions, structural damage</w:t>
            </w:r>
          </w:p>
        </w:tc>
        <w:tc>
          <w:tcPr>
            <w:tcW w:type="dxa" w:w="2448"/>
            <w:vAlign w:val="top"/>
          </w:tcPr>
          <w:p>
            <w:r>
              <w:rPr>
                <w:sz w:val="16"/>
              </w:rPr>
            </w:r>
            <w:r>
              <w:rPr>
                <w:rFonts w:ascii="Times New Roman" w:hAnsi="Times New Roman"/>
                <w:b w:val="0"/>
                <w:sz w:val="16"/>
              </w:rPr>
              <w:t>Age markers, cellular morphology, epigenetic signals</w:t>
            </w:r>
          </w:p>
        </w:tc>
      </w:tr>
      <w:tr>
        <w:tc>
          <w:tcPr>
            <w:tcW w:type="dxa" w:w="2448"/>
            <w:vAlign w:val="top"/>
          </w:tcPr>
          <w:p>
            <w:r>
              <w:rPr>
                <w:sz w:val="16"/>
              </w:rPr>
            </w:r>
            <w:r>
              <w:rPr>
                <w:rFonts w:ascii="Times New Roman" w:hAnsi="Times New Roman"/>
                <w:b w:val="0"/>
                <w:sz w:val="16"/>
              </w:rPr>
              <w:t>Hidden Layer</w:t>
            </w:r>
          </w:p>
        </w:tc>
        <w:tc>
          <w:tcPr>
            <w:tcW w:type="dxa" w:w="2448"/>
            <w:vAlign w:val="top"/>
          </w:tcPr>
          <w:p>
            <w:r>
              <w:rPr>
                <w:sz w:val="16"/>
              </w:rPr>
            </w:r>
            <w:r>
              <w:rPr>
                <w:rFonts w:ascii="Times New Roman" w:hAnsi="Times New Roman"/>
                <w:b w:val="0"/>
                <w:sz w:val="16"/>
              </w:rPr>
              <w:t>Sensory amplification, integration load, coherence stress</w:t>
            </w:r>
          </w:p>
        </w:tc>
        <w:tc>
          <w:tcPr>
            <w:tcW w:type="dxa" w:w="2448"/>
            <w:vAlign w:val="top"/>
          </w:tcPr>
          <w:p>
            <w:r>
              <w:rPr>
                <w:sz w:val="16"/>
              </w:rPr>
            </w:r>
            <w:r>
              <w:rPr>
                <w:rFonts w:ascii="Times New Roman" w:hAnsi="Times New Roman"/>
                <w:b w:val="0"/>
                <w:sz w:val="16"/>
              </w:rPr>
              <w:t>Microstructural damage, network disruption, reserve exhaustion</w:t>
            </w:r>
          </w:p>
        </w:tc>
        <w:tc>
          <w:tcPr>
            <w:tcW w:type="dxa" w:w="2448"/>
            <w:vAlign w:val="top"/>
          </w:tcPr>
          <w:p>
            <w:r>
              <w:rPr>
                <w:sz w:val="16"/>
              </w:rPr>
            </w:r>
            <w:r>
              <w:rPr>
                <w:rFonts w:ascii="Times New Roman" w:hAnsi="Times New Roman"/>
                <w:b w:val="0"/>
                <w:sz w:val="16"/>
              </w:rPr>
              <w:t>Identity instability, dedifferentiation risk, genome safety</w:t>
            </w:r>
          </w:p>
        </w:tc>
      </w:tr>
      <w:tr>
        <w:tc>
          <w:tcPr>
            <w:tcW w:type="dxa" w:w="2448"/>
            <w:vAlign w:val="top"/>
          </w:tcPr>
          <w:p>
            <w:r>
              <w:rPr>
                <w:sz w:val="16"/>
              </w:rPr>
            </w:r>
            <w:r>
              <w:rPr>
                <w:rFonts w:ascii="Times New Roman" w:hAnsi="Times New Roman"/>
                <w:b w:val="0"/>
                <w:sz w:val="16"/>
              </w:rPr>
              <w:t>Main Blockage Point</w:t>
            </w:r>
          </w:p>
        </w:tc>
        <w:tc>
          <w:tcPr>
            <w:tcW w:type="dxa" w:w="2448"/>
            <w:vAlign w:val="top"/>
          </w:tcPr>
          <w:p>
            <w:r>
              <w:rPr>
                <w:sz w:val="16"/>
              </w:rPr>
            </w:r>
            <w:r>
              <w:rPr>
                <w:rFonts w:ascii="Times New Roman" w:hAnsi="Times New Roman"/>
                <w:b w:val="0"/>
                <w:sz w:val="16"/>
              </w:rPr>
              <w:t>Input intensity exceeds coherence translation capacity</w:t>
            </w:r>
          </w:p>
        </w:tc>
        <w:tc>
          <w:tcPr>
            <w:tcW w:type="dxa" w:w="2448"/>
            <w:vAlign w:val="top"/>
          </w:tcPr>
          <w:p>
            <w:r>
              <w:rPr>
                <w:sz w:val="16"/>
              </w:rPr>
            </w:r>
            <w:r>
              <w:rPr>
                <w:rFonts w:ascii="Times New Roman" w:hAnsi="Times New Roman"/>
                <w:b w:val="0"/>
                <w:sz w:val="16"/>
              </w:rPr>
              <w:t>Visible lesion mapping fails to capture hidden functional network disruption</w:t>
            </w:r>
          </w:p>
        </w:tc>
        <w:tc>
          <w:tcPr>
            <w:tcW w:type="dxa" w:w="2448"/>
            <w:vAlign w:val="top"/>
          </w:tcPr>
          <w:p>
            <w:r>
              <w:rPr>
                <w:sz w:val="16"/>
              </w:rPr>
            </w:r>
            <w:r>
              <w:rPr>
                <w:rFonts w:ascii="Times New Roman" w:hAnsi="Times New Roman"/>
                <w:b w:val="0"/>
                <w:sz w:val="16"/>
              </w:rPr>
              <w:t>Age-reset signaling becomes unsafe if identity coherence is not preserved</w:t>
            </w:r>
          </w:p>
        </w:tc>
      </w:tr>
      <w:tr>
        <w:tc>
          <w:tcPr>
            <w:tcW w:type="dxa" w:w="2448"/>
            <w:vAlign w:val="top"/>
          </w:tcPr>
          <w:p>
            <w:r>
              <w:rPr>
                <w:sz w:val="16"/>
              </w:rPr>
            </w:r>
            <w:r>
              <w:rPr>
                <w:rFonts w:ascii="Times New Roman" w:hAnsi="Times New Roman"/>
                <w:b w:val="0"/>
                <w:sz w:val="16"/>
              </w:rPr>
              <w:t>Dominant D-Layers</w:t>
            </w:r>
          </w:p>
        </w:tc>
        <w:tc>
          <w:tcPr>
            <w:tcW w:type="dxa" w:w="2448"/>
            <w:vAlign w:val="top"/>
          </w:tcPr>
          <w:p>
            <w:r>
              <w:rPr>
                <w:sz w:val="16"/>
              </w:rPr>
            </w:r>
            <w:r>
              <w:rPr>
                <w:rFonts w:ascii="Times New Roman" w:hAnsi="Times New Roman"/>
                <w:b w:val="0"/>
                <w:sz w:val="16"/>
              </w:rPr>
              <w:t>D2, D3, D4, D5, D6, D9, D10</w:t>
            </w:r>
          </w:p>
        </w:tc>
        <w:tc>
          <w:tcPr>
            <w:tcW w:type="dxa" w:w="2448"/>
            <w:vAlign w:val="top"/>
          </w:tcPr>
          <w:p>
            <w:r>
              <w:rPr>
                <w:sz w:val="16"/>
              </w:rPr>
            </w:r>
            <w:r>
              <w:rPr>
                <w:rFonts w:ascii="Times New Roman" w:hAnsi="Times New Roman"/>
                <w:b w:val="0"/>
                <w:sz w:val="16"/>
              </w:rPr>
              <w:t>D1, D4, D5, D6, D8, D10</w:t>
            </w:r>
          </w:p>
        </w:tc>
        <w:tc>
          <w:tcPr>
            <w:tcW w:type="dxa" w:w="2448"/>
            <w:vAlign w:val="top"/>
          </w:tcPr>
          <w:p>
            <w:r>
              <w:rPr>
                <w:sz w:val="16"/>
              </w:rPr>
            </w:r>
            <w:r>
              <w:rPr>
                <w:rFonts w:ascii="Times New Roman" w:hAnsi="Times New Roman"/>
                <w:b w:val="0"/>
                <w:sz w:val="16"/>
              </w:rPr>
              <w:t>D3, D5, D8, D9, D10</w:t>
            </w:r>
          </w:p>
        </w:tc>
      </w:tr>
      <w:tr>
        <w:tc>
          <w:tcPr>
            <w:tcW w:type="dxa" w:w="2448"/>
            <w:vAlign w:val="top"/>
          </w:tcPr>
          <w:p>
            <w:r>
              <w:rPr>
                <w:sz w:val="16"/>
              </w:rPr>
            </w:r>
            <w:r>
              <w:rPr>
                <w:rFonts w:ascii="Times New Roman" w:hAnsi="Times New Roman"/>
                <w:b w:val="0"/>
                <w:sz w:val="16"/>
              </w:rPr>
              <w:t>Conceptual Output</w:t>
            </w:r>
          </w:p>
        </w:tc>
        <w:tc>
          <w:tcPr>
            <w:tcW w:type="dxa" w:w="2448"/>
            <w:vAlign w:val="top"/>
          </w:tcPr>
          <w:p>
            <w:r>
              <w:rPr>
                <w:sz w:val="16"/>
              </w:rPr>
            </w:r>
            <w:r>
              <w:rPr>
                <w:rFonts w:ascii="Times New Roman" w:hAnsi="Times New Roman"/>
                <w:b w:val="0"/>
                <w:sz w:val="16"/>
              </w:rPr>
              <w:t>Neurodevelopmental coherence map</w:t>
            </w:r>
          </w:p>
        </w:tc>
        <w:tc>
          <w:tcPr>
            <w:tcW w:type="dxa" w:w="2448"/>
            <w:vAlign w:val="top"/>
          </w:tcPr>
          <w:p>
            <w:r>
              <w:rPr>
                <w:sz w:val="16"/>
              </w:rPr>
            </w:r>
            <w:r>
              <w:rPr>
                <w:rFonts w:ascii="Times New Roman" w:hAnsi="Times New Roman"/>
                <w:b w:val="0"/>
                <w:sz w:val="16"/>
              </w:rPr>
              <w:t>Hidden network coherence map</w:t>
            </w:r>
          </w:p>
        </w:tc>
        <w:tc>
          <w:tcPr>
            <w:tcW w:type="dxa" w:w="2448"/>
            <w:vAlign w:val="top"/>
          </w:tcPr>
          <w:p>
            <w:r>
              <w:rPr>
                <w:sz w:val="16"/>
              </w:rPr>
            </w:r>
            <w:r>
              <w:rPr>
                <w:rFonts w:ascii="Times New Roman" w:hAnsi="Times New Roman"/>
                <w:b w:val="0"/>
                <w:sz w:val="16"/>
              </w:rPr>
              <w:t>Identity-time stability map</w:t>
            </w:r>
          </w:p>
        </w:tc>
      </w:tr>
    </w:tbl>
    <w:p>
      <w:pPr>
        <w:pStyle w:val="Heading2"/>
      </w:pPr>
      <w:r>
        <w:t>7.3 Common Patterns</w:t>
      </w:r>
    </w:p>
    <w:p>
      <w:r>
        <w:rPr>
          <w:b/>
        </w:rPr>
        <w:t>Pattern - Visible Data Is Not the Whole System:</w:t>
      </w:r>
      <w:r>
        <w:t xml:space="preserve"> Autism: visible behavior does not reveal total internal load. MS: visible MRI lesions do not reveal total functional disruption. Cellular rejuvenation: visible age-marker reset does not prove safe identity stability.</w:t>
      </w:r>
    </w:p>
    <w:p>
      <w:r>
        <w:rPr>
          <w:b/>
        </w:rPr>
        <w:t>Pattern - Blockage Occurs Between Layers:</w:t>
      </w:r>
      <w:r>
        <w:t xml:space="preserve"> The blockage does not usually occur in one isolated point. It occurs between layers.</w:t>
      </w:r>
    </w:p>
    <w:p>
      <w:r>
        <w:rPr>
          <w:b/>
        </w:rPr>
        <w:t>Pattern - Coherence Is More Important Than Appearance:</w:t>
      </w:r>
      <w:r>
        <w:t xml:space="preserve"> Apparent state and internal coherence may differ.</w:t>
      </w:r>
    </w:p>
    <w:p>
      <w:r>
        <w:rPr>
          <w:b/>
        </w:rPr>
        <w:t>Pattern - Compensation Can Hide Instability:</w:t>
      </w:r>
      <w:r>
        <w:t xml:space="preserve"> Compensation is not the same as resolution.</w:t>
      </w:r>
    </w:p>
    <w:p>
      <w:r>
        <w:rPr>
          <w:b/>
        </w:rPr>
        <w:t>Pattern - Time Creates Paradox:</w:t>
      </w:r>
      <w:r>
        <w:t xml:space="preserve"> Developmental timing, lesion timing, and biological time may each generate mismatch.</w:t>
      </w:r>
    </w:p>
    <w:p>
      <w:r>
        <w:rPr>
          <w:b/>
        </w:rPr>
        <w:t>Pattern - Identity Must Be Protected:</w:t>
      </w:r>
      <w:r>
        <w:t xml:space="preserve"> The person is not reduced to behavior or lesion maps, and the cell is not reduced to age markers.</w:t>
      </w:r>
    </w:p>
    <w:p>
      <w:r>
        <w:rPr>
          <w:b/>
        </w:rPr>
        <w:t>Pattern - Safety Is Structural, Not Optional:</w:t>
      </w:r>
      <w:r>
        <w:t xml:space="preserve"> Article 7 is part of the architecture, not a disclaimer added afterward.</w:t>
      </w:r>
    </w:p>
    <w:p>
      <w:pPr>
        <w:pStyle w:val="Heading2"/>
      </w:pPr>
      <w:r>
        <w:t>7.4 Unique Patterns</w:t>
      </w:r>
    </w:p>
    <w:p>
      <w:pPr>
        <w:pStyle w:val="ListBullet"/>
      </w:pPr>
      <w:r>
        <w:t>Experiment 1 Unique Signature - Coherence Overload: same external world ≠ same internal load.</w:t>
      </w:r>
    </w:p>
    <w:p>
      <w:pPr>
        <w:pStyle w:val="ListBullet"/>
      </w:pPr>
      <w:r>
        <w:t>Experiment 2 Unique Signature - Hidden Functional Disruption: visible lesion load ≠ full functional disruption.</w:t>
      </w:r>
    </w:p>
    <w:p>
      <w:pPr>
        <w:pStyle w:val="ListBullet"/>
      </w:pPr>
      <w:r>
        <w:t>Experiment 3 Unique Signature - Identity-Time Stability: age reset ≠ identity safety.</w:t>
      </w:r>
    </w:p>
    <w:p>
      <w:pPr>
        <w:pStyle w:val="Heading2"/>
      </w:pPr>
      <w:r>
        <w:t>7.5 EIT Method Confirmation</w:t>
      </w:r>
    </w:p>
    <w:p>
      <w:r>
        <w:t>The three experiments confirm the same EIT logic: public information layer, paradox recognition, visible mismatch, blockage point, D1-D11 mapping, conceptual variables, symbolic experiment, Article 7 safety check, and research interpretation. The same method applies, but each system emphasizes different layers.</w:t>
      </w:r>
    </w:p>
    <w:p>
      <w:pPr>
        <w:pStyle w:val="Heading2"/>
      </w:pPr>
      <w:r>
        <w:t>7.6 Integrated EIT Formula Pattern</w:t>
      </w:r>
    </w:p>
    <w:p>
      <w:pPr>
        <w:spacing w:before="60" w:after="80"/>
        <w:ind w:left="504" w:right="288"/>
      </w:pPr>
      <w:r>
        <w:rPr>
          <w:i/>
          <w:color w:val="375573"/>
          <w:sz w:val="22"/>
        </w:rPr>
        <w:t>"Blockage intensity increases when stress / mismatch / reset pressure rises, and decreases when coherence / reserve / identity / safety remain strong."</w:t>
      </w:r>
    </w:p>
    <w:p>
      <w:pPr>
        <w:pStyle w:val="CodeBlock"/>
      </w:pPr>
      <w:r>
        <w:rPr>
          <w:rFonts w:ascii="Courier New" w:hAnsi="Courier New"/>
          <w:sz w:val="18"/>
        </w:rPr>
        <w:t>B_block = Pressure Factors / Stabilizing Factors</w:t>
      </w:r>
    </w:p>
    <w:p>
      <w:r>
        <w:t>This is not a clinical formula. It is a symbolic research structure.</w:t>
      </w:r>
    </w:p>
    <w:p>
      <w:pPr>
        <w:pStyle w:val="Heading1"/>
      </w:pPr>
      <w:r>
        <w:t>8. Limitations</w:t>
      </w:r>
    </w:p>
    <w:p>
      <w:pPr>
        <w:pStyle w:val="Heading2"/>
      </w:pPr>
      <w:r>
        <w:t>8.1 Not a Clinical Tool</w:t>
      </w:r>
    </w:p>
    <w:p>
      <w:pPr>
        <w:pStyle w:val="ListBullet"/>
      </w:pPr>
      <w:r>
        <w:t>No diagnostic system</w:t>
      </w:r>
    </w:p>
    <w:p>
      <w:pPr>
        <w:pStyle w:val="ListBullet"/>
      </w:pPr>
      <w:r>
        <w:t>No treatment model</w:t>
      </w:r>
    </w:p>
    <w:p>
      <w:pPr>
        <w:pStyle w:val="ListBullet"/>
      </w:pPr>
      <w:r>
        <w:t>No cure model</w:t>
      </w:r>
    </w:p>
    <w:p>
      <w:pPr>
        <w:pStyle w:val="ListBullet"/>
      </w:pPr>
      <w:r>
        <w:t>No clinical prediction tool</w:t>
      </w:r>
    </w:p>
    <w:p>
      <w:pPr>
        <w:pStyle w:val="ListBullet"/>
      </w:pPr>
      <w:r>
        <w:t>No MRI interpretation tool</w:t>
      </w:r>
    </w:p>
    <w:p>
      <w:pPr>
        <w:pStyle w:val="ListBullet"/>
      </w:pPr>
      <w:r>
        <w:t>No biological intervention protocol</w:t>
      </w:r>
    </w:p>
    <w:p>
      <w:pPr>
        <w:pStyle w:val="ListBullet"/>
      </w:pPr>
      <w:r>
        <w:t>No human-use instruction</w:t>
      </w:r>
    </w:p>
    <w:p>
      <w:pPr>
        <w:pStyle w:val="ListBullet"/>
      </w:pPr>
      <w:r>
        <w:t>No validated biomarker framework</w:t>
      </w:r>
    </w:p>
    <w:p>
      <w:pPr>
        <w:pStyle w:val="ListBullet"/>
      </w:pPr>
      <w:r>
        <w:t>No replacement for medical professionals</w:t>
      </w:r>
    </w:p>
    <w:p>
      <w:pPr>
        <w:pStyle w:val="ListBullet"/>
      </w:pPr>
      <w:r>
        <w:t>No replacement for peer-reviewed clinical research</w:t>
      </w:r>
    </w:p>
    <w:p>
      <w:pPr>
        <w:pStyle w:val="Heading2"/>
      </w:pPr>
      <w:r>
        <w:t>8.2 Symbolic Nature</w:t>
      </w:r>
    </w:p>
    <w:p>
      <w:r>
        <w:t>The symbolic equations in this paper are not mathematical proof of biological causation. They are conceptual maps for organizing paradox structures. The variables are not validated clinical measurements; the relationships are heuristic, not causal; and the outputs are conceptual, not quantitative.</w:t>
      </w:r>
    </w:p>
    <w:p>
      <w:pPr>
        <w:pStyle w:val="Heading2"/>
      </w:pPr>
      <w:r>
        <w:t>8.3 Hypothesis-Generating, Not Hypothesis-Confirming</w:t>
      </w:r>
    </w:p>
    <w:p>
      <w:r>
        <w:t>The experiments in this paper are conceptual and hypothesis-generating (Barkhof, 2002; Markram et al., 2007). They require independent scientific testing, ethical review, medical validation, and peer review before any real-world interpretation.</w:t>
      </w:r>
    </w:p>
    <w:p>
      <w:pPr>
        <w:pStyle w:val="Heading2"/>
      </w:pPr>
      <w:r>
        <w:t>8.4 No Cross-Domain Clinical Synthesis</w:t>
      </w:r>
    </w:p>
    <w:p>
      <w:r>
        <w:t>The comparative synthesis does not claim that autism, multiple sclerosis, and cellular rejuvenation are the same condition. It claims only that they can be compared as paradox structures through blockage-point logic.</w:t>
      </w:r>
    </w:p>
    <w:p>
      <w:pPr>
        <w:pStyle w:val="Heading2"/>
      </w:pPr>
      <w:r>
        <w:t>8.5 Model Limitations</w:t>
      </w:r>
    </w:p>
    <w:p>
      <w:r>
        <w:t>The 11D layers are interpretive dimensions, not clinically validated measurement scales. D-layer interpretations are subjective and context-dependent. The framework is a tool for thought, not a measurement instrument.</w:t>
      </w:r>
    </w:p>
    <w:p>
      <w:pPr>
        <w:pStyle w:val="Heading1"/>
      </w:pPr>
      <w:r>
        <w:t>9. Article 7 Safety Declaration</w:t>
      </w:r>
    </w:p>
    <w:p>
      <w:pPr>
        <w:pStyle w:val="Heading2"/>
      </w:pPr>
      <w:r>
        <w:t>9.1 Core Safety Principles</w:t>
      </w:r>
    </w:p>
    <w:p>
      <w:r>
        <w:t>The NOVA Q / EIT 11D Framework must not be used as a medical device, diagnostic instrument, treatment guide, biological protocol, clinical recommendation system, cure claim, replacement for doctors, replacement for researchers, or replacement for validated evidence.</w:t>
      </w:r>
    </w:p>
    <w:p>
      <w:pPr>
        <w:pStyle w:val="Heading2"/>
      </w:pPr>
      <w:r>
        <w:t>9.2 Permitted Uses</w:t>
      </w:r>
    </w:p>
    <w:p>
      <w:pPr>
        <w:pStyle w:val="ListBullet"/>
      </w:pPr>
      <w:r>
        <w:t>Conceptual</w:t>
      </w:r>
    </w:p>
    <w:p>
      <w:pPr>
        <w:pStyle w:val="ListBullet"/>
      </w:pPr>
      <w:r>
        <w:t>Educational</w:t>
      </w:r>
    </w:p>
    <w:p>
      <w:pPr>
        <w:pStyle w:val="ListBullet"/>
      </w:pPr>
      <w:r>
        <w:t>Symbolic</w:t>
      </w:r>
    </w:p>
    <w:p>
      <w:pPr>
        <w:pStyle w:val="ListBullet"/>
      </w:pPr>
      <w:r>
        <w:t>Research-oriented</w:t>
      </w:r>
    </w:p>
    <w:p>
      <w:pPr>
        <w:pStyle w:val="ListBullet"/>
      </w:pPr>
      <w:r>
        <w:t>Non-clinical</w:t>
      </w:r>
    </w:p>
    <w:p>
      <w:pPr>
        <w:pStyle w:val="ListBullet"/>
      </w:pPr>
      <w:r>
        <w:t>Safety-bounded</w:t>
      </w:r>
    </w:p>
    <w:p>
      <w:pPr>
        <w:pStyle w:val="Heading2"/>
      </w:pPr>
      <w:r>
        <w:t>9.3 Safety Protocol</w:t>
      </w:r>
    </w:p>
    <w:p>
      <w:r>
        <w:t>If any interpretation attempts to cross into clinical action, diagnosis, intervention, human-use instruction, treatment recommendation, or cure claim, the model must return to D10 and stop.</w:t>
      </w:r>
    </w:p>
    <w:p>
      <w:pPr>
        <w:pStyle w:val="Heading2"/>
      </w:pPr>
      <w:r>
        <w:t>9.4 Final Declaration</w:t>
      </w:r>
    </w:p>
    <w:p>
      <w:r>
        <w:t>Article 7 safety boundaries are structurally embedded throughout the framework. They are not an afterthought or a decorative disclaimer. All outputs require independent scientific and medical validation before any real-world interpretation or application.</w:t>
      </w:r>
    </w:p>
    <w:p>
      <w:pPr>
        <w:pStyle w:val="Heading1"/>
      </w:pPr>
      <w:r>
        <w:t>10. Conclusion</w:t>
      </w:r>
    </w:p>
    <w:p>
      <w:pPr>
        <w:pStyle w:val="Heading2"/>
      </w:pPr>
      <w:r>
        <w:t>10.1 Summary of Contributions</w:t>
      </w:r>
    </w:p>
    <w:p>
      <w:pPr>
        <w:pStyle w:val="ListNumber"/>
      </w:pPr>
      <w:r>
        <w:t>Blockage-Point Logic - begin by identifying where the flow is stuck.</w:t>
      </w:r>
    </w:p>
    <w:p>
      <w:pPr>
        <w:pStyle w:val="ListNumber"/>
      </w:pPr>
      <w:r>
        <w:t>Visible / Hidden Distinction - separate surface appearance from hidden system behavior.</w:t>
      </w:r>
    </w:p>
    <w:p>
      <w:pPr>
        <w:pStyle w:val="ListNumber"/>
      </w:pPr>
      <w:r>
        <w:t>11D Layer Architecture - organize complex systems into eleven conceptual layers.</w:t>
      </w:r>
    </w:p>
    <w:p>
      <w:pPr>
        <w:pStyle w:val="ListNumber"/>
      </w:pPr>
      <w:r>
        <w:t>Coherence as Hidden System Variable - treat coherence as more important than surface appearance.</w:t>
      </w:r>
    </w:p>
    <w:p>
      <w:pPr>
        <w:pStyle w:val="ListNumber"/>
      </w:pPr>
      <w:r>
        <w:t>Compensation Is Not Resolution - distinguish compensation from true resolution.</w:t>
      </w:r>
    </w:p>
    <w:p>
      <w:pPr>
        <w:pStyle w:val="ListNumber"/>
      </w:pPr>
      <w:r>
        <w:t>Identity Protection - protect identity through D9 as a structural layer.</w:t>
      </w:r>
    </w:p>
    <w:p>
      <w:pPr>
        <w:pStyle w:val="ListNumber"/>
      </w:pPr>
      <w:r>
        <w:t>Article 7 as Structural Safety - embed safety boundaries into the architecture through D10.</w:t>
      </w:r>
    </w:p>
    <w:p>
      <w:pPr>
        <w:pStyle w:val="Heading2"/>
      </w:pPr>
      <w:r>
        <w:t>10.2 Central Thesis Confirmed</w:t>
      </w:r>
    </w:p>
    <w:p>
      <w:pPr>
        <w:spacing w:before="60" w:after="80"/>
        <w:ind w:left="504" w:right="288"/>
      </w:pPr>
      <w:r>
        <w:rPr>
          <w:i/>
          <w:color w:val="375573"/>
          <w:sz w:val="22"/>
        </w:rPr>
        <w:t>"Complex biological paradoxes are not caused only by missing data, but often by a mismatch between visible structure and hidden information-flow dynamics."</w:t>
      </w:r>
    </w:p>
    <w:p>
      <w:pPr>
        <w:pStyle w:val="ListBullet"/>
      </w:pPr>
      <w:r>
        <w:t>A system may appear stable while its internal regulation is overloaded.</w:t>
      </w:r>
    </w:p>
    <w:p>
      <w:pPr>
        <w:pStyle w:val="ListBullet"/>
      </w:pPr>
      <w:r>
        <w:t>A structure may appear damaged while the functional system still compensates (Barkhof, 2002; Chard et al., 2017).</w:t>
      </w:r>
    </w:p>
    <w:p>
      <w:pPr>
        <w:pStyle w:val="ListBullet"/>
      </w:pPr>
      <w:r>
        <w:t>A cell may appear biologically younger while its identity boundary remains at risk (Simpson et al., 2021; Yücel &amp; Gladyshev, 2024).</w:t>
      </w:r>
    </w:p>
    <w:p>
      <w:pPr>
        <w:spacing w:before="60" w:after="80"/>
        <w:ind w:left="504" w:right="288"/>
      </w:pPr>
      <w:r>
        <w:rPr>
          <w:i/>
          <w:color w:val="375573"/>
          <w:sz w:val="22"/>
        </w:rPr>
        <w:t>"A visible state is incomplete until hidden flow, coherence, compensation, timing, identity, and safety are mapped."</w:t>
      </w:r>
    </w:p>
    <w:p>
      <w:pPr>
        <w:pStyle w:val="Heading2"/>
      </w:pPr>
      <w:r>
        <w:t>10.3 Final Statement</w:t>
      </w:r>
    </w:p>
    <w:p>
      <w:r>
        <w:t>The NOVA Q / EIT 11D Conceptual Research Framework does not claim to solve autism, multiple sclerosis, cellular aging, or biological rejuvenation. Instead, it offers a disciplined method for asking better research questions. The framework is a conceptual architecture for paradox research, not a clinical authority system. It is now structurally complete at V1.0.</w:t>
      </w:r>
    </w:p>
    <w:p>
      <w:pPr>
        <w:pStyle w:val="Heading1"/>
      </w:pPr>
      <w:r>
        <w:t>11. Visual Appendix Plan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Appendix</w:t>
            </w:r>
          </w:p>
        </w:tc>
        <w:tc>
          <w:tcPr>
            <w:tcW w:type="dxa" w:w="4896"/>
            <w:vAlign w:val="top"/>
            <w:shd w:fill="D9EAF7"/>
          </w:tcPr>
          <w:p>
            <w:r>
              <w:rPr>
                <w:sz w:val="16"/>
              </w:rPr>
            </w:r>
            <w:r>
              <w:rPr>
                <w:rFonts w:ascii="Times New Roman" w:hAnsi="Times New Roman"/>
                <w:b/>
                <w:sz w:val="16"/>
              </w:rPr>
              <w:t>Planned Visual Material</w:t>
            </w:r>
          </w:p>
        </w:tc>
      </w:tr>
      <w:tr>
        <w:tc>
          <w:tcPr>
            <w:tcW w:type="dxa" w:w="4896"/>
            <w:vAlign w:val="top"/>
          </w:tcPr>
          <w:p>
            <w:r>
              <w:rPr>
                <w:sz w:val="16"/>
              </w:rPr>
            </w:r>
            <w:r>
              <w:rPr>
                <w:rFonts w:ascii="Times New Roman" w:hAnsi="Times New Roman"/>
                <w:b w:val="0"/>
                <w:sz w:val="16"/>
              </w:rPr>
              <w:t>Appendix A</w:t>
            </w:r>
          </w:p>
        </w:tc>
        <w:tc>
          <w:tcPr>
            <w:tcW w:type="dxa" w:w="4896"/>
            <w:vAlign w:val="top"/>
          </w:tcPr>
          <w:p>
            <w:r>
              <w:rPr>
                <w:sz w:val="16"/>
              </w:rPr>
            </w:r>
            <w:r>
              <w:rPr>
                <w:rFonts w:ascii="Times New Roman" w:hAnsi="Times New Roman"/>
                <w:b w:val="0"/>
                <w:sz w:val="16"/>
              </w:rPr>
              <w:t>D1-D11 Layer Diagram with four categories and core questions</w:t>
            </w:r>
          </w:p>
        </w:tc>
      </w:tr>
      <w:tr>
        <w:tc>
          <w:tcPr>
            <w:tcW w:type="dxa" w:w="4896"/>
            <w:vAlign w:val="top"/>
          </w:tcPr>
          <w:p>
            <w:r>
              <w:rPr>
                <w:sz w:val="16"/>
              </w:rPr>
            </w:r>
            <w:r>
              <w:rPr>
                <w:rFonts w:ascii="Times New Roman" w:hAnsi="Times New Roman"/>
                <w:b w:val="0"/>
                <w:sz w:val="16"/>
              </w:rPr>
              <w:t>Appendix B</w:t>
            </w:r>
          </w:p>
        </w:tc>
        <w:tc>
          <w:tcPr>
            <w:tcW w:type="dxa" w:w="4896"/>
            <w:vAlign w:val="top"/>
          </w:tcPr>
          <w:p>
            <w:r>
              <w:rPr>
                <w:sz w:val="16"/>
              </w:rPr>
            </w:r>
            <w:r>
              <w:rPr>
                <w:rFonts w:ascii="Times New Roman" w:hAnsi="Times New Roman"/>
                <w:b w:val="0"/>
                <w:sz w:val="16"/>
              </w:rPr>
              <w:t>EIT Method Flowchart from Public Information Layer to Research Interpretation</w:t>
            </w:r>
          </w:p>
        </w:tc>
      </w:tr>
      <w:tr>
        <w:tc>
          <w:tcPr>
            <w:tcW w:type="dxa" w:w="4896"/>
            <w:vAlign w:val="top"/>
          </w:tcPr>
          <w:p>
            <w:r>
              <w:rPr>
                <w:sz w:val="16"/>
              </w:rPr>
            </w:r>
            <w:r>
              <w:rPr>
                <w:rFonts w:ascii="Times New Roman" w:hAnsi="Times New Roman"/>
                <w:b w:val="0"/>
                <w:sz w:val="16"/>
              </w:rPr>
              <w:t>Appendix C</w:t>
            </w:r>
          </w:p>
        </w:tc>
        <w:tc>
          <w:tcPr>
            <w:tcW w:type="dxa" w:w="4896"/>
            <w:vAlign w:val="top"/>
          </w:tcPr>
          <w:p>
            <w:r>
              <w:rPr>
                <w:sz w:val="16"/>
              </w:rPr>
            </w:r>
            <w:r>
              <w:rPr>
                <w:rFonts w:ascii="Times New Roman" w:hAnsi="Times New Roman"/>
                <w:b w:val="0"/>
                <w:sz w:val="16"/>
              </w:rPr>
              <w:t>Comparative Synthesis Table</w:t>
            </w:r>
          </w:p>
        </w:tc>
      </w:tr>
      <w:tr>
        <w:tc>
          <w:tcPr>
            <w:tcW w:type="dxa" w:w="4896"/>
            <w:vAlign w:val="top"/>
          </w:tcPr>
          <w:p>
            <w:r>
              <w:rPr>
                <w:sz w:val="16"/>
              </w:rPr>
            </w:r>
            <w:r>
              <w:rPr>
                <w:rFonts w:ascii="Times New Roman" w:hAnsi="Times New Roman"/>
                <w:b w:val="0"/>
                <w:sz w:val="16"/>
              </w:rPr>
              <w:t>Appendix D</w:t>
            </w:r>
          </w:p>
        </w:tc>
        <w:tc>
          <w:tcPr>
            <w:tcW w:type="dxa" w:w="4896"/>
            <w:vAlign w:val="top"/>
          </w:tcPr>
          <w:p>
            <w:r>
              <w:rPr>
                <w:sz w:val="16"/>
              </w:rPr>
            </w:r>
            <w:r>
              <w:rPr>
                <w:rFonts w:ascii="Times New Roman" w:hAnsi="Times New Roman"/>
                <w:b w:val="0"/>
                <w:sz w:val="16"/>
              </w:rPr>
              <w:t>Conceptual Variable Maps for all three experiments</w:t>
            </w:r>
          </w:p>
        </w:tc>
      </w:tr>
      <w:tr>
        <w:tc>
          <w:tcPr>
            <w:tcW w:type="dxa" w:w="4896"/>
            <w:vAlign w:val="top"/>
          </w:tcPr>
          <w:p>
            <w:r>
              <w:rPr>
                <w:sz w:val="16"/>
              </w:rPr>
            </w:r>
            <w:r>
              <w:rPr>
                <w:rFonts w:ascii="Times New Roman" w:hAnsi="Times New Roman"/>
                <w:b w:val="0"/>
                <w:sz w:val="16"/>
              </w:rPr>
              <w:t>Appendix E</w:t>
            </w:r>
          </w:p>
        </w:tc>
        <w:tc>
          <w:tcPr>
            <w:tcW w:type="dxa" w:w="4896"/>
            <w:vAlign w:val="top"/>
          </w:tcPr>
          <w:p>
            <w:r>
              <w:rPr>
                <w:sz w:val="16"/>
              </w:rPr>
            </w:r>
            <w:r>
              <w:rPr>
                <w:rFonts w:ascii="Times New Roman" w:hAnsi="Times New Roman"/>
                <w:b w:val="0"/>
                <w:sz w:val="16"/>
              </w:rPr>
              <w:t>D-Layer Dominance Maps / heatmap-style overview</w:t>
            </w:r>
          </w:p>
        </w:tc>
      </w:tr>
      <w:tr>
        <w:tc>
          <w:tcPr>
            <w:tcW w:type="dxa" w:w="4896"/>
            <w:vAlign w:val="top"/>
          </w:tcPr>
          <w:p>
            <w:r>
              <w:rPr>
                <w:sz w:val="16"/>
              </w:rPr>
            </w:r>
            <w:r>
              <w:rPr>
                <w:rFonts w:ascii="Times New Roman" w:hAnsi="Times New Roman"/>
                <w:b w:val="0"/>
                <w:sz w:val="16"/>
              </w:rPr>
              <w:t>Appendix F</w:t>
            </w:r>
          </w:p>
        </w:tc>
        <w:tc>
          <w:tcPr>
            <w:tcW w:type="dxa" w:w="4896"/>
            <w:vAlign w:val="top"/>
          </w:tcPr>
          <w:p>
            <w:r>
              <w:rPr>
                <w:sz w:val="16"/>
              </w:rPr>
            </w:r>
            <w:r>
              <w:rPr>
                <w:rFonts w:ascii="Times New Roman" w:hAnsi="Times New Roman"/>
                <w:b w:val="0"/>
                <w:sz w:val="16"/>
              </w:rPr>
              <w:t>Article 7 Safety Boundary Visualization</w:t>
            </w:r>
          </w:p>
        </w:tc>
      </w:tr>
    </w:tbl>
    <w:p>
      <w:pPr>
        <w:pStyle w:val="Heading1"/>
      </w:pPr>
      <w:r>
        <w:t>12. References</w:t>
      </w:r>
    </w:p>
    <w:p>
      <w:pPr>
        <w:pStyle w:val="Heading2"/>
      </w:pPr>
      <w:r>
        <w:t>Autism / Neurodevelopmental Coherence Sources</w:t>
      </w:r>
    </w:p>
    <w:p>
      <w:pPr>
        <w:spacing w:after="60"/>
        <w:ind w:left="360" w:hanging="360"/>
      </w:pPr>
      <w:r>
        <w:t>Centers for Disease Control and Prevention. (2024). Signs and symptoms of autism spectrum disorder. CDC. https://www.cdc.gov/ncbddd/autism/signs.html</w:t>
      </w:r>
    </w:p>
    <w:p>
      <w:pPr>
        <w:spacing w:after="60"/>
        <w:ind w:left="360" w:hanging="360"/>
      </w:pPr>
      <w:r>
        <w:t>National Institute of Mental Health. (n.d.). Autism spectrum disorder. NIMH. https://www.nimh.nih.gov/health/topics/autism-spectrum-disorders-asd</w:t>
      </w:r>
    </w:p>
    <w:p>
      <w:pPr>
        <w:spacing w:after="60"/>
        <w:ind w:left="360" w:hanging="360"/>
      </w:pPr>
      <w:r>
        <w:t>Markram, H., Rinaldi, T., &amp; Markram, K. (2007). The intense world syndrome - An alternative hypothesis for autism. Frontiers in Neuroscience. https://doi.org/10.3389/neuro.01.1.1.006.2007</w:t>
      </w:r>
    </w:p>
    <w:p>
      <w:pPr>
        <w:spacing w:after="60"/>
        <w:ind w:left="360" w:hanging="360"/>
      </w:pPr>
      <w:r>
        <w:t>Markram, K., &amp; Markram, H. (2010). The Intense World Theory - A unifying theory of the neurobiology of autism. Frontiers in Human Neuroscience. https://doi.org/10.3389/fnhum.2010.00224</w:t>
      </w:r>
    </w:p>
    <w:p>
      <w:pPr>
        <w:pStyle w:val="Heading2"/>
      </w:pPr>
      <w:r>
        <w:t>Multiple Sclerosis / Hidden Network Coherence Sources</w:t>
      </w:r>
    </w:p>
    <w:p>
      <w:pPr>
        <w:spacing w:after="60"/>
        <w:ind w:left="360" w:hanging="360"/>
      </w:pPr>
      <w:r>
        <w:t>National Institute of Neurological Disorders and Stroke. (2025). Multiple sclerosis (MS). NINDS. https://www.ninds.nih.gov/health-information/disorders/multiple-sclerosis</w:t>
      </w:r>
    </w:p>
    <w:p>
      <w:pPr>
        <w:spacing w:after="60"/>
        <w:ind w:left="360" w:hanging="360"/>
      </w:pPr>
      <w:r>
        <w:t>MedlinePlus. (2026). Multiple sclerosis. U.S. National Library of Medicine. https://medlineplus.gov/multiplesclerosis.html</w:t>
      </w:r>
    </w:p>
    <w:p>
      <w:pPr>
        <w:spacing w:after="60"/>
        <w:ind w:left="360" w:hanging="360"/>
      </w:pPr>
      <w:r>
        <w:t>Barkhof, F. (2002). The clinico-radiological paradox in multiple sclerosis revisited. Current Opinion in Neurology, 15(3), 239-245. https://doi.org/10.1097/00019052-200206000-00003</w:t>
      </w:r>
    </w:p>
    <w:p>
      <w:pPr>
        <w:spacing w:after="60"/>
        <w:ind w:left="360" w:hanging="360"/>
      </w:pPr>
      <w:r>
        <w:t>Chard, D., Trip, S. A., &amp; others. (2017). Resolving the clinico-radiological paradox in multiple sclerosis. F1000Research. https://pmc.ncbi.nlm.nih.gov/articles/PMC5645703/</w:t>
      </w:r>
    </w:p>
    <w:p>
      <w:pPr>
        <w:spacing w:after="60"/>
        <w:ind w:left="360" w:hanging="360"/>
      </w:pPr>
      <w:r>
        <w:t>Hartmann, A. M., et al. (2023). The clinical-radiological paradox in multiple sclerosis: Myth or truth? Arquivos de Neuro-Psiquiatria. https://doi.org/10.1055/s-0043-1777109</w:t>
      </w:r>
    </w:p>
    <w:p>
      <w:pPr>
        <w:pStyle w:val="Heading2"/>
      </w:pPr>
      <w:r>
        <w:t>Cellular Rejuvenation / Identity-Time Stability Sources</w:t>
      </w:r>
    </w:p>
    <w:p>
      <w:pPr>
        <w:spacing w:after="60"/>
        <w:ind w:left="360" w:hanging="360"/>
      </w:pPr>
      <w:r>
        <w:t>Horvath, S. (2013). DNA methylation age of human tissues and cell types. Genome Biology, 14(10), R115. https://doi.org/10.1186/gb-2013-14-10-r115</w:t>
      </w:r>
    </w:p>
    <w:p>
      <w:pPr>
        <w:spacing w:after="60"/>
        <w:ind w:left="360" w:hanging="360"/>
      </w:pPr>
      <w:r>
        <w:t>Ocampo, A., Reddy, P., Martinez-Redondo, P., et al. (2016). In vivo amelioration of age-associated hallmarks by partial reprogramming. Cell, 167(7), 1719-1733. https://doi.org/10.1016/j.cell.2016.11.052</w:t>
      </w:r>
    </w:p>
    <w:p>
      <w:pPr>
        <w:spacing w:after="60"/>
        <w:ind w:left="360" w:hanging="360"/>
      </w:pPr>
      <w:r>
        <w:t>Simpson, D. J., Olova, N. N., &amp; Chandra, T. (2021). Cellular reprogramming and epigenetic rejuvenation. Clinical Epigenetics, 13, 170. https://doi.org/10.1186/s13148-021-01159-2</w:t>
      </w:r>
    </w:p>
    <w:p>
      <w:pPr>
        <w:spacing w:after="60"/>
        <w:ind w:left="360" w:hanging="360"/>
      </w:pPr>
      <w:r>
        <w:t>Paine, P. T., Nguyen, A., &amp; Ocampo, A. (2024). Partial cellular reprogramming: A deep dive into an emerging rejuvenation technology. Aging Cell, 23, Article e14039. https://doi.org/10.1111/acel.14039</w:t>
      </w:r>
    </w:p>
    <w:p>
      <w:pPr>
        <w:spacing w:after="60"/>
        <w:ind w:left="360" w:hanging="360"/>
      </w:pPr>
      <w:r>
        <w:t>Yücel, A. D., &amp; Gladyshev, V. N. (2024). The long and winding road of reprogramming-induced rejuvenation. Nature Communications, 15, Article 1941. https://doi.org/10.1038/s41467-024-46020-5</w:t>
      </w:r>
    </w:p>
    <w:p>
      <w:pPr>
        <w:spacing w:after="60"/>
        <w:ind w:left="360" w:hanging="360"/>
      </w:pPr>
      <w:r>
        <w:t>Jo, B.-K., Lee, S.-Y., Eom, H.-J., Kim, J., &amp; Cha, H.-J. (2025). Organ-specific dedifferentiation and epigenetic remodeling in in vivo reprogramming. Aging Cell, Article e70268. https://doi.org/10.1111/acel.70268</w:t>
      </w:r>
    </w:p>
    <w:p>
      <w:pPr>
        <w:pStyle w:val="Heading1"/>
      </w:pPr>
      <w:r>
        <w:t>13. Document Status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r>
              <w:rPr>
                <w:sz w:val="16"/>
              </w:rPr>
            </w:r>
            <w:r>
              <w:rPr>
                <w:rFonts w:ascii="Times New Roman" w:hAnsi="Times New Roman"/>
                <w:b/>
                <w:sz w:val="16"/>
              </w:rPr>
              <w:t>Component</w:t>
            </w:r>
          </w:p>
        </w:tc>
        <w:tc>
          <w:tcPr>
            <w:tcW w:type="dxa" w:w="4896"/>
            <w:vAlign w:val="top"/>
            <w:shd w:fill="D9EAF7"/>
          </w:tcPr>
          <w:p>
            <w:r>
              <w:rPr>
                <w:sz w:val="16"/>
              </w:rPr>
            </w:r>
            <w:r>
              <w:rPr>
                <w:rFonts w:ascii="Times New Roman" w:hAnsi="Times New Roman"/>
                <w:b/>
                <w:sz w:val="16"/>
              </w:rPr>
              <w:t>Status</w:t>
            </w:r>
          </w:p>
        </w:tc>
      </w:tr>
      <w:tr>
        <w:tc>
          <w:tcPr>
            <w:tcW w:type="dxa" w:w="4896"/>
            <w:vAlign w:val="top"/>
          </w:tcPr>
          <w:p>
            <w:r>
              <w:rPr>
                <w:sz w:val="16"/>
              </w:rPr>
            </w:r>
            <w:r>
              <w:rPr>
                <w:rFonts w:ascii="Times New Roman" w:hAnsi="Times New Roman"/>
                <w:b w:val="0"/>
                <w:sz w:val="16"/>
              </w:rPr>
              <w:t>APA 7th Edition Formatting</w:t>
            </w:r>
          </w:p>
        </w:tc>
        <w:tc>
          <w:tcPr>
            <w:tcW w:type="dxa" w:w="4896"/>
            <w:vAlign w:val="top"/>
          </w:tcPr>
          <w:p>
            <w:r>
              <w:rPr>
                <w:sz w:val="16"/>
              </w:rPr>
            </w:r>
            <w:r>
              <w:rPr>
                <w:rFonts w:ascii="Times New Roman" w:hAnsi="Times New Roman"/>
                <w:b w:val="0"/>
                <w:sz w:val="16"/>
              </w:rPr>
              <w:t>Complete</w:t>
            </w:r>
          </w:p>
        </w:tc>
      </w:tr>
      <w:tr>
        <w:tc>
          <w:tcPr>
            <w:tcW w:type="dxa" w:w="4896"/>
            <w:vAlign w:val="top"/>
          </w:tcPr>
          <w:p>
            <w:r>
              <w:rPr>
                <w:sz w:val="16"/>
              </w:rPr>
            </w:r>
            <w:r>
              <w:rPr>
                <w:rFonts w:ascii="Times New Roman" w:hAnsi="Times New Roman"/>
                <w:b w:val="0"/>
                <w:sz w:val="16"/>
              </w:rPr>
              <w:t>Inline Citations Inserted</w:t>
            </w:r>
          </w:p>
        </w:tc>
        <w:tc>
          <w:tcPr>
            <w:tcW w:type="dxa" w:w="4896"/>
            <w:vAlign w:val="top"/>
          </w:tcPr>
          <w:p>
            <w:r>
              <w:rPr>
                <w:sz w:val="16"/>
              </w:rPr>
            </w:r>
            <w:r>
              <w:rPr>
                <w:rFonts w:ascii="Times New Roman" w:hAnsi="Times New Roman"/>
                <w:b w:val="0"/>
                <w:sz w:val="16"/>
              </w:rPr>
              <w:t>Complete</w:t>
            </w:r>
          </w:p>
        </w:tc>
      </w:tr>
      <w:tr>
        <w:tc>
          <w:tcPr>
            <w:tcW w:type="dxa" w:w="4896"/>
            <w:vAlign w:val="top"/>
          </w:tcPr>
          <w:p>
            <w:r>
              <w:rPr>
                <w:sz w:val="16"/>
              </w:rPr>
            </w:r>
            <w:r>
              <w:rPr>
                <w:rFonts w:ascii="Times New Roman" w:hAnsi="Times New Roman"/>
                <w:b w:val="0"/>
                <w:sz w:val="16"/>
              </w:rPr>
              <w:t>Citation Map Verified</w:t>
            </w:r>
          </w:p>
        </w:tc>
        <w:tc>
          <w:tcPr>
            <w:tcW w:type="dxa" w:w="4896"/>
            <w:vAlign w:val="top"/>
          </w:tcPr>
          <w:p>
            <w:r>
              <w:rPr>
                <w:sz w:val="16"/>
              </w:rPr>
            </w:r>
            <w:r>
              <w:rPr>
                <w:rFonts w:ascii="Times New Roman" w:hAnsi="Times New Roman"/>
                <w:b w:val="0"/>
                <w:sz w:val="16"/>
              </w:rPr>
              <w:t>Complete</w:t>
            </w:r>
          </w:p>
        </w:tc>
      </w:tr>
      <w:tr>
        <w:tc>
          <w:tcPr>
            <w:tcW w:type="dxa" w:w="4896"/>
            <w:vAlign w:val="top"/>
          </w:tcPr>
          <w:p>
            <w:r>
              <w:rPr>
                <w:sz w:val="16"/>
              </w:rPr>
            </w:r>
            <w:r>
              <w:rPr>
                <w:rFonts w:ascii="Times New Roman" w:hAnsi="Times New Roman"/>
                <w:b w:val="0"/>
                <w:sz w:val="16"/>
              </w:rPr>
              <w:t>All References Formatted</w:t>
            </w:r>
          </w:p>
        </w:tc>
        <w:tc>
          <w:tcPr>
            <w:tcW w:type="dxa" w:w="4896"/>
            <w:vAlign w:val="top"/>
          </w:tcPr>
          <w:p>
            <w:r>
              <w:rPr>
                <w:sz w:val="16"/>
              </w:rPr>
            </w:r>
            <w:r>
              <w:rPr>
                <w:rFonts w:ascii="Times New Roman" w:hAnsi="Times New Roman"/>
                <w:b w:val="0"/>
                <w:sz w:val="16"/>
              </w:rPr>
              <w:t>Complete</w:t>
            </w:r>
          </w:p>
        </w:tc>
      </w:tr>
      <w:tr>
        <w:tc>
          <w:tcPr>
            <w:tcW w:type="dxa" w:w="4896"/>
            <w:vAlign w:val="top"/>
          </w:tcPr>
          <w:p>
            <w:r>
              <w:rPr>
                <w:sz w:val="16"/>
              </w:rPr>
            </w:r>
            <w:r>
              <w:rPr>
                <w:rFonts w:ascii="Times New Roman" w:hAnsi="Times New Roman"/>
                <w:b w:val="0"/>
                <w:sz w:val="16"/>
              </w:rPr>
              <w:t>Article 7 Safety Boundaries</w:t>
            </w:r>
          </w:p>
        </w:tc>
        <w:tc>
          <w:tcPr>
            <w:tcW w:type="dxa" w:w="4896"/>
            <w:vAlign w:val="top"/>
          </w:tcPr>
          <w:p>
            <w:r>
              <w:rPr>
                <w:sz w:val="16"/>
              </w:rPr>
            </w:r>
            <w:r>
              <w:rPr>
                <w:rFonts w:ascii="Times New Roman" w:hAnsi="Times New Roman"/>
                <w:b w:val="0"/>
                <w:sz w:val="16"/>
              </w:rPr>
              <w:t>Active</w:t>
            </w:r>
          </w:p>
        </w:tc>
      </w:tr>
      <w:tr>
        <w:tc>
          <w:tcPr>
            <w:tcW w:type="dxa" w:w="4896"/>
            <w:vAlign w:val="top"/>
          </w:tcPr>
          <w:p>
            <w:r>
              <w:rPr>
                <w:sz w:val="16"/>
              </w:rPr>
            </w:r>
            <w:r>
              <w:rPr>
                <w:rFonts w:ascii="Times New Roman" w:hAnsi="Times New Roman"/>
                <w:b w:val="0"/>
                <w:sz w:val="16"/>
              </w:rPr>
              <w:t>Document Version</w:t>
            </w:r>
          </w:p>
        </w:tc>
        <w:tc>
          <w:tcPr>
            <w:tcW w:type="dxa" w:w="4896"/>
            <w:vAlign w:val="top"/>
          </w:tcPr>
          <w:p>
            <w:r>
              <w:rPr>
                <w:sz w:val="16"/>
              </w:rPr>
            </w:r>
            <w:r>
              <w:rPr>
                <w:rFonts w:ascii="Times New Roman" w:hAnsi="Times New Roman"/>
                <w:b w:val="0"/>
                <w:sz w:val="16"/>
              </w:rPr>
              <w:t>V1.0</w:t>
            </w:r>
          </w:p>
        </w:tc>
      </w:tr>
    </w:tbl>
    <w:p>
      <w:r>
        <w:t>Final Status: Complete Paper - APA Formatted with Inline Citations. Ready for Word/PDF export.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Created by Mr. Toni Mladenovski | Article 7 Active - Conceptual Research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NOVA Q / EIT 11D Conceptual Research Framework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3C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3C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43C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urier New" w:hAnsi="Courier New" w:eastAsia="Courier New"/>
      <w:sz w:val="18"/>
    </w:rPr>
  </w:style>
  <w:style w:type="paragraph" w:customStyle="1" w:styleId="SmallNote">
    <w:name w:val="SmallNote"/>
    <w:pPr>
      <w:spacing w:after="40"/>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