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2025-02-25</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4ba8cfcd6b394a731a19d6ee9a3fd21bada44fa"/>
    <w:p>
      <w:pPr>
        <w:pStyle w:val="Heading1"/>
      </w:pPr>
      <w:r>
        <w:t xml:space="preserve">Z’ Factor and % Cell Viability for Fraction Bound and G-Coordinates</w:t>
      </w:r>
    </w:p>
    <w:p>
      <w:pPr>
        <w:pStyle w:val="TableCaption"/>
      </w:pPr>
      <w:r>
        <w:t xml:space="preserve">Fraction Bound Z’factor and %CV</w:t>
      </w:r>
    </w:p>
    <w:tbl>
      <w:tblPr>
        <w:tblStyle w:val="Table"/>
        <w:tblW w:type="auto" w:w="0"/>
        <w:tblLook w:firstRow="1" w:lastRow="0" w:firstColumn="0" w:lastColumn="0" w:noHBand="0" w:noVBand="0" w:val="0020"/>
        <w:tblCaption w:val="Fraction Bound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-0.1959437</w:t>
            </w:r>
          </w:p>
        </w:tc>
        <w:tc>
          <w:tcPr/>
          <w:p>
            <w:pPr>
              <w:pStyle w:val="Compact"/>
              <w:jc w:val="right"/>
            </w:pPr>
            <w:r>
              <w:t xml:space="preserve">1.963924</w:t>
            </w:r>
          </w:p>
        </w:tc>
      </w:tr>
    </w:tbl>
    <w:p/>
    <w:p>
      <w:pPr>
        <w:pStyle w:val="TableCaption"/>
      </w:pPr>
      <w:r>
        <w:t xml:space="preserve">Mean Fraction Bound Z’factor and %CV</w:t>
      </w:r>
    </w:p>
    <w:tbl>
      <w:tblPr>
        <w:tblStyle w:val="Table"/>
        <w:tblW w:type="auto" w:w="0"/>
        <w:tblLook w:firstRow="1" w:lastRow="0" w:firstColumn="0" w:lastColumn="0" w:noHBand="0" w:noVBand="0" w:val="0020"/>
        <w:tblCaption w:val="Mean Fraction Bound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0.5402899</w:t>
            </w:r>
          </w:p>
        </w:tc>
        <w:tc>
          <w:tcPr/>
          <w:p>
            <w:pPr>
              <w:pStyle w:val="Compact"/>
              <w:jc w:val="right"/>
            </w:pPr>
            <w:r>
              <w:t xml:space="preserve">1.806762</w:t>
            </w:r>
          </w:p>
        </w:tc>
      </w:tr>
    </w:tbl>
    <w:p/>
    <w:p>
      <w:pPr>
        <w:pStyle w:val="TableCaption"/>
      </w:pPr>
      <w:r>
        <w:t xml:space="preserve">G-Coordinate Z’factor and %CV</w:t>
      </w:r>
    </w:p>
    <w:tbl>
      <w:tblPr>
        <w:tblStyle w:val="Table"/>
        <w:tblW w:type="auto" w:w="0"/>
        <w:tblLook w:firstRow="1" w:lastRow="0" w:firstColumn="0" w:lastColumn="0" w:noHBand="0" w:noVBand="0" w:val="0020"/>
        <w:tblCaption w:val="G-Coordinate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0.1179575</w:t>
            </w:r>
          </w:p>
        </w:tc>
        <w:tc>
          <w:tcPr/>
          <w:p>
            <w:pPr>
              <w:pStyle w:val="Compact"/>
              <w:jc w:val="right"/>
            </w:pPr>
            <w:r>
              <w:t xml:space="preserve">3.418429</w:t>
            </w:r>
          </w:p>
        </w:tc>
      </w:tr>
    </w:tbl>
    <w:p/>
    <w:p>
      <w:pPr>
        <w:pStyle w:val="TableCaption"/>
      </w:pPr>
      <w:r>
        <w:t xml:space="preserve">Mean G-Coordinate Z’factor and %CV</w:t>
      </w:r>
    </w:p>
    <w:tbl>
      <w:tblPr>
        <w:tblStyle w:val="Table"/>
        <w:tblW w:type="auto" w:w="0"/>
        <w:tblLook w:firstRow="1" w:lastRow="0" w:firstColumn="0" w:lastColumn="0" w:noHBand="0" w:noVBand="0" w:val="0020"/>
        <w:tblCaption w:val="Mean G-Coordinate Z’factor and %CV"/>
      </w:tblPr>
      <w:tblGrid>
        <w:gridCol w:w="3960"/>
        <w:gridCol w:w="3960"/>
      </w:tblGrid>
      <w:tr>
        <w:trPr>
          <w:tblHeader w:val="on"/>
        </w:trPr>
        <w:tc>
          <w:tcPr/>
          <w:p>
            <w:pPr>
              <w:pStyle w:val="Compact"/>
              <w:jc w:val="right"/>
            </w:pPr>
            <w:r>
              <w:t xml:space="preserve">z_prime_factor</w:t>
            </w:r>
          </w:p>
        </w:tc>
        <w:tc>
          <w:tcPr/>
          <w:p>
            <w:pPr>
              <w:pStyle w:val="Compact"/>
              <w:jc w:val="right"/>
            </w:pPr>
            <w:r>
              <w:t xml:space="preserve">percent_cv</w:t>
            </w:r>
          </w:p>
        </w:tc>
      </w:tr>
      <w:tr>
        <w:tc>
          <w:tcPr/>
          <w:p>
            <w:pPr>
              <w:pStyle w:val="Compact"/>
              <w:jc w:val="right"/>
            </w:pPr>
            <w:r>
              <w:t xml:space="preserve">0.6898841</w:t>
            </w:r>
          </w:p>
        </w:tc>
        <w:tc>
          <w:tcPr/>
          <w:p>
            <w:pPr>
              <w:pStyle w:val="Compact"/>
              <w:jc w:val="right"/>
            </w:pPr>
            <w:r>
              <w:t xml:space="preserve">2.991982</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103076"/>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103076"/>
                    </a:xfrm>
                    <a:prstGeom prst="rect">
                      <a:avLst/>
                    </a:prstGeom>
                    <a:noFill/>
                    <a:ln w="9525">
                      <a:noFill/>
                      <a:headEnd/>
                      <a:tailEnd/>
                    </a:ln>
                  </pic:spPr>
                </pic:pic>
              </a:graphicData>
            </a:graphic>
          </wp:inline>
        </w:drawing>
      </w:r>
    </w:p>
    <w:bookmarkEnd w:id="25"/>
    <w:bookmarkStart w:id="35"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examines the effects of STA Concentration on fraction bound, with experiment as a random variable to assess differences between experiment runs.</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2025-02-25T21:36:56Z</dcterms:created>
  <dcterms:modified xsi:type="dcterms:W3CDTF">2025-02-25T21:36:56Z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2025-02-25</vt:lpwstr>
  </property>
  <property fmtid="{D5CDD505-2E9C-101B-9397-08002B2CF9AE}" pid="3" name="output">
    <vt:lpwstr>word_document</vt:lpwstr>
  </property>
</Properties>
</file>