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MAP-8 Case Study Using the Interpersonal Reactivity Index (IRI)</w:t>
      </w:r>
    </w:p>
    <w:p/>
    <w:p>
      <w:pPr>
        <w:pStyle w:val="Heading1"/>
      </w:pPr>
      <w:r>
        <w:t>Step 1. Problem definition and analytical objective</w:t>
      </w:r>
    </w:p>
    <w:p>
      <w:r>
        <w:t>The objective of this case study is to characterize empathy as a multidimensional construct and to demonstrate methodological complementariedad by combining correlational, configurational, and segmentation-based analyses. Empathy is operationalized using the Interpersonal Reactivity Index (IRI), which distinguishes four dimensions: Fantasy (FS), Perspective Taking (PT), Empathic Concern (EC), and Personal Distress (PD).</w:t>
      </w:r>
    </w:p>
    <w:p>
      <w:r>
        <w:t>Rather than assuming a single linear mechanism, the study explicitly asks whether:</w:t>
      </w:r>
    </w:p>
    <w:p>
      <w:pPr>
        <w:pStyle w:val="ListBullet"/>
      </w:pPr>
      <w:r>
        <w:t>The four-factor structure is psychometrically valid,</w:t>
      </w:r>
    </w:p>
    <w:p>
      <w:pPr>
        <w:pStyle w:val="ListBullet"/>
      </w:pPr>
      <w:r>
        <w:t>Multiple combinations of empathy dimensions (and demographics like Gender) can lead to high overall empathy (equifinality),</w:t>
      </w:r>
    </w:p>
    <w:p>
      <w:pPr>
        <w:pStyle w:val="ListBullet"/>
      </w:pPr>
      <w:r>
        <w:t>And whether the population is heterogeneous, exhibiting distinct empathy profiles.</w:t>
      </w:r>
    </w:p>
    <w:p>
      <w:pPr>
        <w:pStyle w:val="Heading1"/>
      </w:pPr>
      <w:r>
        <w:t>Step 2. Data acquisition, quality control, and exploratory diagnostics</w:t>
      </w:r>
    </w:p>
    <w:p>
      <w:r>
        <w:t>The initial dataset consisted of 2322 raw cases collected via an online survey across two cohorts (2023-2024). In Step 2, data was unified into a common 1-5 Likert scale (converting 2023's 0-4 scale via +1 transformation). Data quality was ensured through a multi-stage filtering process aligned with MAP-8 principles:</w:t>
      </w:r>
    </w:p>
    <w:p>
      <w:pPr>
        <w:pStyle w:val="ListBullet"/>
      </w:pPr>
      <w:r>
        <w:t>Attention checks (AC2, AC3) reduced the sample to 1322 cases, excluding inattentive or careless responses.</w:t>
      </w:r>
    </w:p>
    <w:p>
      <w:pPr>
        <w:pStyle w:val="ListBullet"/>
      </w:pPr>
      <w:r>
        <w:t>Multivariate outlier detection (Mahalanobis distance) further reduced the dataset to 1262 valid cases.</w:t>
      </w:r>
    </w:p>
    <w:p>
      <w:pPr>
        <w:pStyle w:val="ListBullet"/>
      </w:pPr>
      <w:r>
        <w:t>An additional 55 cases were flagged as potentially random response patterns and removed.</w:t>
      </w:r>
    </w:p>
    <w:p>
      <w:r>
        <w:t>Detection of potentially random answers: High Mahalanobis distance (MD) indicates a combination of answers (multivariate outlier) that is statistically improbable given the population distribution. The Mahalanobis distance is calculated using the following equation:</w:t>
      </w:r>
    </w:p>
    <w:p>
      <w:pPr>
        <w:jc w:val="center"/>
      </w:pPr>
      <w:r>
        <w:rPr>
          <w:b/>
          <w:sz w:val="24"/>
        </w:rPr>
        <w:t>D²(x) = (x - μ)ᵀ S⁻¹ (x - μ)</w:t>
      </w:r>
    </w:p>
    <w:p>
      <w:r>
        <w:t>Where x represents the vector of item responses for an individual, μ is the vector of means, and S⁻¹ is the inverse of the covariance matrix. Specifically, we used a χ² threshold with 28 degrees of freedom (p &lt; 0.001) to isolate and remove these inconsistent profiles, ensuring the subsequent SEM and QCA models are not biased by noise.</w:t>
      </w:r>
    </w:p>
    <w:p>
      <w:pPr>
        <w:pStyle w:val="Heading2"/>
      </w:pPr>
      <w:r>
        <w:t>Table 1. Descriptive Statistics (Cleaned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t>Statistic</w:t>
            </w:r>
          </w:p>
        </w:tc>
        <w:tc>
          <w:tcPr>
            <w:tcW w:type="dxa" w:w="1440"/>
            <w:shd w:fill="D9D9D9"/>
          </w:tcPr>
          <w:p>
            <w:r>
              <w:t>FS_mean</w:t>
            </w:r>
          </w:p>
        </w:tc>
        <w:tc>
          <w:tcPr>
            <w:tcW w:type="dxa" w:w="1440"/>
            <w:shd w:fill="D9D9D9"/>
          </w:tcPr>
          <w:p>
            <w:r>
              <w:t>PT_mean</w:t>
            </w:r>
          </w:p>
        </w:tc>
        <w:tc>
          <w:tcPr>
            <w:tcW w:type="dxa" w:w="1440"/>
            <w:shd w:fill="D9D9D9"/>
          </w:tcPr>
          <w:p>
            <w:r>
              <w:t>EC_mean</w:t>
            </w:r>
          </w:p>
        </w:tc>
        <w:tc>
          <w:tcPr>
            <w:tcW w:type="dxa" w:w="1440"/>
            <w:shd w:fill="D9D9D9"/>
          </w:tcPr>
          <w:p>
            <w:r>
              <w:t>PD_mean</w:t>
            </w:r>
          </w:p>
        </w:tc>
        <w:tc>
          <w:tcPr>
            <w:tcW w:type="dxa" w:w="1440"/>
            <w:shd w:fill="D9D9D9"/>
          </w:tcPr>
          <w:p>
            <w:r>
              <w:t>IRI_total</w:t>
            </w:r>
          </w:p>
        </w:tc>
      </w:tr>
      <w:tr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</w:tr>
      <w:tr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3.101</w:t>
            </w:r>
          </w:p>
        </w:tc>
        <w:tc>
          <w:tcPr>
            <w:tcW w:type="dxa" w:w="1440"/>
          </w:tcPr>
          <w:p>
            <w:r>
              <w:t>3.607</w:t>
            </w:r>
          </w:p>
        </w:tc>
        <w:tc>
          <w:tcPr>
            <w:tcW w:type="dxa" w:w="1440"/>
          </w:tcPr>
          <w:p>
            <w:r>
              <w:t>3.461</w:t>
            </w:r>
          </w:p>
        </w:tc>
        <w:tc>
          <w:tcPr>
            <w:tcW w:type="dxa" w:w="1440"/>
          </w:tcPr>
          <w:p>
            <w:r>
              <w:t>2.559</w:t>
            </w:r>
          </w:p>
        </w:tc>
        <w:tc>
          <w:tcPr>
            <w:tcW w:type="dxa" w:w="1440"/>
          </w:tcPr>
          <w:p>
            <w:r>
              <w:t>3.182</w:t>
            </w:r>
          </w:p>
        </w:tc>
      </w:tr>
      <w:tr>
        <w:tc>
          <w:tcPr>
            <w:tcW w:type="dxa" w:w="1440"/>
          </w:tcPr>
          <w:p>
            <w:r>
              <w:t>std</w:t>
            </w:r>
          </w:p>
        </w:tc>
        <w:tc>
          <w:tcPr>
            <w:tcW w:type="dxa" w:w="1440"/>
          </w:tcPr>
          <w:p>
            <w:r>
              <w:t>0.707</w:t>
            </w:r>
          </w:p>
        </w:tc>
        <w:tc>
          <w:tcPr>
            <w:tcW w:type="dxa" w:w="1440"/>
          </w:tcPr>
          <w:p>
            <w:r>
              <w:t>0.621</w:t>
            </w:r>
          </w:p>
        </w:tc>
        <w:tc>
          <w:tcPr>
            <w:tcW w:type="dxa" w:w="1440"/>
          </w:tcPr>
          <w:p>
            <w:r>
              <w:t>0.623</w:t>
            </w:r>
          </w:p>
        </w:tc>
        <w:tc>
          <w:tcPr>
            <w:tcW w:type="dxa" w:w="1440"/>
          </w:tcPr>
          <w:p>
            <w:r>
              <w:t>0.660</w:t>
            </w:r>
          </w:p>
        </w:tc>
        <w:tc>
          <w:tcPr>
            <w:tcW w:type="dxa" w:w="1440"/>
          </w:tcPr>
          <w:p>
            <w:r>
              <w:t>0.439</w:t>
            </w:r>
          </w:p>
        </w:tc>
      </w:tr>
      <w:tr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1.429</w:t>
            </w:r>
          </w:p>
        </w:tc>
        <w:tc>
          <w:tcPr>
            <w:tcW w:type="dxa" w:w="1440"/>
          </w:tcPr>
          <w:p>
            <w:r>
              <w:t>1.429</w:t>
            </w:r>
          </w:p>
        </w:tc>
        <w:tc>
          <w:tcPr>
            <w:tcW w:type="dxa" w:w="1440"/>
          </w:tcPr>
          <w:p>
            <w:r>
              <w:t>1.286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1.821</w:t>
            </w:r>
          </w:p>
        </w:tc>
      </w:tr>
      <w:tr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2.571</w:t>
            </w:r>
          </w:p>
        </w:tc>
        <w:tc>
          <w:tcPr>
            <w:tcW w:type="dxa" w:w="1440"/>
          </w:tcPr>
          <w:p>
            <w:r>
              <w:t>3.143</w:t>
            </w:r>
          </w:p>
        </w:tc>
        <w:tc>
          <w:tcPr>
            <w:tcW w:type="dxa" w:w="1440"/>
          </w:tcPr>
          <w:p>
            <w:r>
              <w:t>3.000</w:t>
            </w:r>
          </w:p>
        </w:tc>
        <w:tc>
          <w:tcPr>
            <w:tcW w:type="dxa" w:w="1440"/>
          </w:tcPr>
          <w:p>
            <w:r>
              <w:t>2.143</w:t>
            </w:r>
          </w:p>
        </w:tc>
        <w:tc>
          <w:tcPr>
            <w:tcW w:type="dxa" w:w="1440"/>
          </w:tcPr>
          <w:p>
            <w:r>
              <w:t>2.893</w:t>
            </w:r>
          </w:p>
        </w:tc>
      </w:tr>
      <w:tr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3.000</w:t>
            </w:r>
          </w:p>
        </w:tc>
        <w:tc>
          <w:tcPr>
            <w:tcW w:type="dxa" w:w="1440"/>
          </w:tcPr>
          <w:p>
            <w:r>
              <w:t>3.571</w:t>
            </w:r>
          </w:p>
        </w:tc>
        <w:tc>
          <w:tcPr>
            <w:tcW w:type="dxa" w:w="1440"/>
          </w:tcPr>
          <w:p>
            <w:r>
              <w:t>3.429</w:t>
            </w:r>
          </w:p>
        </w:tc>
        <w:tc>
          <w:tcPr>
            <w:tcW w:type="dxa" w:w="1440"/>
          </w:tcPr>
          <w:p>
            <w:r>
              <w:t>2.571</w:t>
            </w:r>
          </w:p>
        </w:tc>
        <w:tc>
          <w:tcPr>
            <w:tcW w:type="dxa" w:w="1440"/>
          </w:tcPr>
          <w:p>
            <w:r>
              <w:t>3.143</w:t>
            </w:r>
          </w:p>
        </w:tc>
      </w:tr>
      <w:tr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3.571</w:t>
            </w:r>
          </w:p>
        </w:tc>
        <w:tc>
          <w:tcPr>
            <w:tcW w:type="dxa" w:w="1440"/>
          </w:tcPr>
          <w:p>
            <w:r>
              <w:t>4.000</w:t>
            </w:r>
          </w:p>
        </w:tc>
        <w:tc>
          <w:tcPr>
            <w:tcW w:type="dxa" w:w="1440"/>
          </w:tcPr>
          <w:p>
            <w:r>
              <w:t>3.857</w:t>
            </w:r>
          </w:p>
        </w:tc>
        <w:tc>
          <w:tcPr>
            <w:tcW w:type="dxa" w:w="1440"/>
          </w:tcPr>
          <w:p>
            <w:r>
              <w:t>3.000</w:t>
            </w:r>
          </w:p>
        </w:tc>
        <w:tc>
          <w:tcPr>
            <w:tcW w:type="dxa" w:w="1440"/>
          </w:tcPr>
          <w:p>
            <w:r>
              <w:t>3.464</w:t>
            </w:r>
          </w:p>
        </w:tc>
      </w:tr>
      <w:tr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4.429</w:t>
            </w:r>
          </w:p>
        </w:tc>
        <w:tc>
          <w:tcPr>
            <w:tcW w:type="dxa" w:w="1440"/>
          </w:tcPr>
          <w:p>
            <w:r>
              <w:t>4.500</w:t>
            </w:r>
          </w:p>
        </w:tc>
      </w:tr>
    </w:tbl>
    <w:p/>
    <w:p>
      <w:r>
        <w:t>Exploratory factorability diagnostics confirmed the suitability of the data:</w:t>
      </w:r>
    </w:p>
    <w:p>
      <w:pPr>
        <w:pStyle w:val="ListBullet"/>
      </w:pPr>
      <w:r>
        <w:t>Global KMO (Kaiser-Meyer-Olkin) = 0.888, indicating excellent sampling adequacy (interpretable above 0.8).</w:t>
      </w:r>
    </w:p>
    <w:p>
      <w:pPr>
        <w:pStyle w:val="ListBullet"/>
      </w:pPr>
      <w:r>
        <w:t>Bartlett’s test of sphericity was highly significant (p &lt; 0.001), confirming variables are sufficiently correlated for factor analysis.</w:t>
      </w:r>
    </w:p>
    <w:p>
      <w:pPr>
        <w:pStyle w:val="Heading2"/>
      </w:pPr>
      <w:r>
        <w:t>Table 2. Reliability Metrics (Cronbach's Alpha) per Subscale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Dimensions</w:t>
            </w:r>
          </w:p>
        </w:tc>
        <w:tc>
          <w:tcPr>
            <w:tcW w:type="dxa" w:w="4320"/>
            <w:shd w:fill="D9D9D9"/>
          </w:tcPr>
          <w:p>
            <w:r>
              <w:t>Alpha (α)</w:t>
            </w:r>
          </w:p>
        </w:tc>
      </w:tr>
      <w:tr>
        <w:tc>
          <w:tcPr>
            <w:tcW w:type="dxa" w:w="4320"/>
          </w:tcPr>
          <w:p>
            <w:r>
              <w:t>FS</w:t>
            </w:r>
          </w:p>
        </w:tc>
        <w:tc>
          <w:tcPr>
            <w:tcW w:type="dxa" w:w="4320"/>
          </w:tcPr>
          <w:p>
            <w:r>
              <w:t>0.709</w:t>
            </w:r>
          </w:p>
        </w:tc>
      </w:tr>
      <w:tr>
        <w:tc>
          <w:tcPr>
            <w:tcW w:type="dxa" w:w="4320"/>
          </w:tcPr>
          <w:p>
            <w:r>
              <w:t>PT</w:t>
            </w:r>
          </w:p>
        </w:tc>
        <w:tc>
          <w:tcPr>
            <w:tcW w:type="dxa" w:w="4320"/>
          </w:tcPr>
          <w:p>
            <w:r>
              <w:t>0.718</w:t>
            </w:r>
          </w:p>
        </w:tc>
      </w:tr>
      <w:tr>
        <w:tc>
          <w:tcPr>
            <w:tcW w:type="dxa" w:w="4320"/>
          </w:tcPr>
          <w:p>
            <w:r>
              <w:t>EC</w:t>
            </w:r>
          </w:p>
        </w:tc>
        <w:tc>
          <w:tcPr>
            <w:tcW w:type="dxa" w:w="4320"/>
          </w:tcPr>
          <w:p>
            <w:r>
              <w:t>0.671</w:t>
            </w:r>
          </w:p>
        </w:tc>
      </w:tr>
      <w:tr>
        <w:tc>
          <w:tcPr>
            <w:tcW w:type="dxa" w:w="4320"/>
          </w:tcPr>
          <w:p>
            <w:r>
              <w:t>PD</w:t>
            </w:r>
          </w:p>
        </w:tc>
        <w:tc>
          <w:tcPr>
            <w:tcW w:type="dxa" w:w="4320"/>
          </w:tcPr>
          <w:p>
            <w:r>
              <w:t>0.756</w:t>
            </w:r>
          </w:p>
        </w:tc>
      </w:tr>
    </w:tbl>
    <w:p>
      <w:pPr>
        <w:pStyle w:val="Heading1"/>
      </w:pPr>
      <w:r>
        <w:t>Step 3. Model specification (three complementary logics)</w:t>
      </w:r>
    </w:p>
    <w:p>
      <w:r>
        <w:t>Three analytical lenses were specified in parallel, integrating linear and configurational logic:</w:t>
      </w:r>
    </w:p>
    <w:p>
      <w:pPr>
        <w:pStyle w:val="ListBullet"/>
      </w:pPr>
      <w:r>
        <w:t>1. CB-SEM (Confirmatory Bias Structural Equation Modeling): A correlational logic seeking to validate the latent structure.</w:t>
      </w:r>
    </w:p>
    <w:p>
      <w:pPr>
        <w:pStyle w:val="ListBullet"/>
      </w:pPr>
      <w:r>
        <w:t>2. fsQCA (Fuzzy-Set Qualitative Comparative Analysis): A configurational logic exploring how conditions combine to produce an outcome.</w:t>
      </w:r>
    </w:p>
    <w:p>
      <w:pPr>
        <w:pStyle w:val="ListBullet"/>
      </w:pPr>
      <w:r>
        <w:t>3. HCA (Hierarchical Cluster Analysis): A segmentation logic to identify natural subgroups.</w:t>
      </w:r>
    </w:p>
    <w:p>
      <w:pPr>
        <w:pStyle w:val="Heading1"/>
      </w:pPr>
      <w:r>
        <w:t>Step 4. Model estimation</w:t>
      </w:r>
    </w:p>
    <w:p>
      <w:pPr>
        <w:pStyle w:val="Heading2"/>
      </w:pPr>
      <w:r>
        <w:t>4.1 Confirmatory Factor Analysis</w:t>
      </w:r>
    </w:p>
    <w:p>
      <w:r>
        <w:t>The CFA was estimated with 1262 cases. Global fit indices were as follows: CFI = 0.698, TLI = 0.668, RMSEA = 0.086. Interpretation: Values of CFI/TLI above 0.90 are usually preferred, though in large multidimensional scales like IRI, moderate fit is common. RMSEA below 0.08 is considered acceptable.</w:t>
      </w:r>
    </w:p>
    <w:p>
      <w:pPr>
        <w:pStyle w:val="Heading2"/>
      </w:pPr>
      <w:r>
        <w:t>Table 3. Standardized Factor Loadings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t>Latent</w:t>
            </w:r>
          </w:p>
        </w:tc>
        <w:tc>
          <w:tcPr>
            <w:tcW w:type="dxa" w:w="2160"/>
            <w:shd w:fill="D9D9D9"/>
          </w:tcPr>
          <w:p>
            <w:r>
              <w:t>Item</w:t>
            </w:r>
          </w:p>
        </w:tc>
        <w:tc>
          <w:tcPr>
            <w:tcW w:type="dxa" w:w="2160"/>
            <w:shd w:fill="D9D9D9"/>
          </w:tcPr>
          <w:p>
            <w:r>
              <w:t>Estimate</w:t>
            </w:r>
          </w:p>
        </w:tc>
        <w:tc>
          <w:tcPr>
            <w:tcW w:type="dxa" w:w="2160"/>
            <w:shd w:fill="D9D9D9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FS5</w:t>
            </w:r>
          </w:p>
        </w:tc>
        <w:tc>
          <w:tcPr>
            <w:tcW w:type="dxa" w:w="2160"/>
          </w:tcPr>
          <w:p>
            <w:r>
              <w:t>1.564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FS7</w:t>
            </w:r>
          </w:p>
        </w:tc>
        <w:tc>
          <w:tcPr>
            <w:tcW w:type="dxa" w:w="2160"/>
          </w:tcPr>
          <w:p>
            <w:r>
              <w:t>0.072</w:t>
            </w:r>
          </w:p>
        </w:tc>
        <w:tc>
          <w:tcPr>
            <w:tcW w:type="dxa" w:w="2160"/>
          </w:tcPr>
          <w:p>
            <w:r>
              <w:t>0.288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FS12</w:t>
            </w:r>
          </w:p>
        </w:tc>
        <w:tc>
          <w:tcPr>
            <w:tcW w:type="dxa" w:w="2160"/>
          </w:tcPr>
          <w:p>
            <w:r>
              <w:t>0.408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FS16</w:t>
            </w:r>
          </w:p>
        </w:tc>
        <w:tc>
          <w:tcPr>
            <w:tcW w:type="dxa" w:w="2160"/>
          </w:tcPr>
          <w:p>
            <w:r>
              <w:t>1.706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FS23</w:t>
            </w:r>
          </w:p>
        </w:tc>
        <w:tc>
          <w:tcPr>
            <w:tcW w:type="dxa" w:w="2160"/>
          </w:tcPr>
          <w:p>
            <w:r>
              <w:t>1.689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FS26</w:t>
            </w:r>
          </w:p>
        </w:tc>
        <w:tc>
          <w:tcPr>
            <w:tcW w:type="dxa" w:w="2160"/>
          </w:tcPr>
          <w:p>
            <w:r>
              <w:t>1.629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PT3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PT8</w:t>
            </w:r>
          </w:p>
        </w:tc>
        <w:tc>
          <w:tcPr>
            <w:tcW w:type="dxa" w:w="2160"/>
          </w:tcPr>
          <w:p>
            <w:r>
              <w:t>1.987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PT11</w:t>
            </w:r>
          </w:p>
        </w:tc>
        <w:tc>
          <w:tcPr>
            <w:tcW w:type="dxa" w:w="2160"/>
          </w:tcPr>
          <w:p>
            <w:r>
              <w:t>2.684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PT15</w:t>
            </w:r>
          </w:p>
        </w:tc>
        <w:tc>
          <w:tcPr>
            <w:tcW w:type="dxa" w:w="2160"/>
          </w:tcPr>
          <w:p>
            <w:r>
              <w:t>0.823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PT21</w:t>
            </w:r>
          </w:p>
        </w:tc>
        <w:tc>
          <w:tcPr>
            <w:tcW w:type="dxa" w:w="2160"/>
          </w:tcPr>
          <w:p>
            <w:r>
              <w:t>2.254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PT25</w:t>
            </w:r>
          </w:p>
        </w:tc>
        <w:tc>
          <w:tcPr>
            <w:tcW w:type="dxa" w:w="2160"/>
          </w:tcPr>
          <w:p>
            <w:r>
              <w:t>2.317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PT28</w:t>
            </w:r>
          </w:p>
        </w:tc>
        <w:tc>
          <w:tcPr>
            <w:tcW w:type="dxa" w:w="2160"/>
          </w:tcPr>
          <w:p>
            <w:r>
              <w:t>2.381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EC4</w:t>
            </w:r>
          </w:p>
        </w:tc>
        <w:tc>
          <w:tcPr>
            <w:tcW w:type="dxa" w:w="2160"/>
          </w:tcPr>
          <w:p>
            <w:r>
              <w:t>0.233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EC9</w:t>
            </w:r>
          </w:p>
        </w:tc>
        <w:tc>
          <w:tcPr>
            <w:tcW w:type="dxa" w:w="2160"/>
          </w:tcPr>
          <w:p>
            <w:r>
              <w:t>0.848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EC14</w:t>
            </w:r>
          </w:p>
        </w:tc>
        <w:tc>
          <w:tcPr>
            <w:tcW w:type="dxa" w:w="2160"/>
          </w:tcPr>
          <w:p>
            <w:r>
              <w:t>0.324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EC18</w:t>
            </w:r>
          </w:p>
        </w:tc>
        <w:tc>
          <w:tcPr>
            <w:tcW w:type="dxa" w:w="2160"/>
          </w:tcPr>
          <w:p>
            <w:r>
              <w:t>0.256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EC20</w:t>
            </w:r>
          </w:p>
        </w:tc>
        <w:tc>
          <w:tcPr>
            <w:tcW w:type="dxa" w:w="2160"/>
          </w:tcPr>
          <w:p>
            <w:r>
              <w:t>1.272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EC22</w:t>
            </w:r>
          </w:p>
        </w:tc>
        <w:tc>
          <w:tcPr>
            <w:tcW w:type="dxa" w:w="2160"/>
          </w:tcPr>
          <w:p>
            <w:r>
              <w:t>1.444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PD6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PD10</w:t>
            </w:r>
          </w:p>
        </w:tc>
        <w:tc>
          <w:tcPr>
            <w:tcW w:type="dxa" w:w="2160"/>
          </w:tcPr>
          <w:p>
            <w:r>
              <w:t>0.835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PD13</w:t>
            </w:r>
          </w:p>
        </w:tc>
        <w:tc>
          <w:tcPr>
            <w:tcW w:type="dxa" w:w="2160"/>
          </w:tcPr>
          <w:p>
            <w:r>
              <w:t>0.447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PD17</w:t>
            </w:r>
          </w:p>
        </w:tc>
        <w:tc>
          <w:tcPr>
            <w:tcW w:type="dxa" w:w="2160"/>
          </w:tcPr>
          <w:p>
            <w:r>
              <w:t>1.154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PD19</w:t>
            </w:r>
          </w:p>
        </w:tc>
        <w:tc>
          <w:tcPr>
            <w:tcW w:type="dxa" w:w="2160"/>
          </w:tcPr>
          <w:p>
            <w:r>
              <w:t>0.273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PD24</w:t>
            </w:r>
          </w:p>
        </w:tc>
        <w:tc>
          <w:tcPr>
            <w:tcW w:type="dxa" w:w="2160"/>
          </w:tcPr>
          <w:p>
            <w:r>
              <w:t>0.964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PD27</w:t>
            </w:r>
          </w:p>
        </w:tc>
        <w:tc>
          <w:tcPr>
            <w:tcW w:type="dxa" w:w="2160"/>
          </w:tcPr>
          <w:p>
            <w:r>
              <w:t>0.674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</w:tbl>
    <w:p>
      <w:pPr>
        <w:pStyle w:val="Heading2"/>
      </w:pPr>
      <w:r>
        <w:t>4.2 fsQCA Estimation</w:t>
      </w:r>
    </w:p>
    <w:p>
      <w:r>
        <w:t>Sociodemographic analysis was integrated by including Gender and SES (Socioeconomic Status) as conditions. Gender was dummy-coded (1=Female, 0=Male) and SES was dichotomized (1=High SES [Level 3+], 0=Low SES). The sufficiency analysis seeks the minimal combination of empathy dimensions and sociodemographic conditions leading to high empathy.</w:t>
      </w:r>
    </w:p>
    <w:p>
      <w:pPr>
        <w:pStyle w:val="Heading2"/>
      </w:pPr>
      <w:r>
        <w:t>Table 4. Parsimonious Solution for High Total Empathy</w:t>
      </w:r>
    </w:p>
    <w:p>
      <w:r>
        <w:rPr>
          <w:rFonts w:ascii="Courier New" w:hAnsi="Courier New"/>
          <w:sz w:val="18"/>
        </w:rPr>
        <w:t>(With Remainders) ---</w:t>
        <w:br/>
        <w:br/>
        <w:t>M1: fs_f*pt_f + fs_f*ec_f + fs_f*pd_f + fs_f*gen_f + pt_f*ec_f + pt_f*pd_f +</w:t>
        <w:br/>
        <w:t xml:space="preserve">    pt_f*gen_f + ec_f*pd_f + ec_f*ses_f + pd_f*gen_f*~ses_f -&gt; iri_total_f</w:t>
        <w:br/>
        <w:br/>
        <w:t xml:space="preserve">                       inclS   PRI   covS   covU  </w:t>
        <w:br/>
        <w:t xml:space="preserve">------------------------------------------------- </w:t>
        <w:br/>
        <w:t xml:space="preserve"> 1          fs_f*pt_f  0.935  0.869  0.677  0.020 </w:t>
        <w:br/>
        <w:t xml:space="preserve"> 2          fs_f*ec_f  0.961  0.923  0.731  0.006 </w:t>
        <w:br/>
        <w:t xml:space="preserve"> 3          fs_f*pd_f  0.918  0.835  0.661  0.018 </w:t>
        <w:br/>
        <w:t xml:space="preserve"> 4         fs_f*gen_f  0.896  0.833  0.455  0.004 </w:t>
        <w:br/>
        <w:t xml:space="preserve"> 5          pt_f*ec_f  0.918  0.839  0.719  0.014 </w:t>
        <w:br/>
        <w:t xml:space="preserve"> 6          pt_f*pd_f  0.940  0.869  0.598  0.005 </w:t>
        <w:br/>
        <w:t xml:space="preserve"> 7         pt_f*gen_f  0.860  0.775  0.424  0.002 </w:t>
        <w:br/>
        <w:t xml:space="preserve"> 8          ec_f*pd_f  0.944  0.886  0.676  0.004 </w:t>
        <w:br/>
        <w:t xml:space="preserve"> 9         ec_f*ses_f  0.871  0.781  0.239  0.001 </w:t>
        <w:br/>
        <w:t xml:space="preserve">10  pd_f*gen_f*~ses_f  0.844  0.747  0.318  0.002 </w:t>
        <w:br/>
        <w:t xml:space="preserve">------------------------------------------------- </w:t>
        <w:br/>
        <w:t xml:space="preserve">                   M1  0.773  0.634  0.984</w:t>
      </w:r>
    </w:p>
    <w:p>
      <w:r>
        <w:t>How to interpret QCA tables: 'inclS' (Inclusion) measures the degree to which a configuration is a subset of the outcome; 'covS' (Coverage) measures how much of the outcome is explained by that specific recipe. Values above 0.75 in inclusion usually indicate sufficient pathways.</w:t>
      </w:r>
    </w:p>
    <w:p>
      <w:pPr>
        <w:pStyle w:val="Heading2"/>
      </w:pPr>
      <w:r>
        <w:t>4.3 Hierarchical clustering</w:t>
      </w:r>
    </w:p>
    <w:p>
      <w:pPr>
        <w:pStyle w:val="Heading2"/>
      </w:pPr>
      <w:r>
        <w:t>Table 5. Mean Scores by Cluster (IRI profiles)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t>Cluster</w:t>
            </w:r>
          </w:p>
        </w:tc>
        <w:tc>
          <w:tcPr>
            <w:tcW w:type="dxa" w:w="1728"/>
            <w:shd w:fill="D9D9D9"/>
          </w:tcPr>
          <w:p>
            <w:r>
              <w:t>FS_mean</w:t>
            </w:r>
          </w:p>
        </w:tc>
        <w:tc>
          <w:tcPr>
            <w:tcW w:type="dxa" w:w="1728"/>
            <w:shd w:fill="D9D9D9"/>
          </w:tcPr>
          <w:p>
            <w:r>
              <w:t>PT_mean</w:t>
            </w:r>
          </w:p>
        </w:tc>
        <w:tc>
          <w:tcPr>
            <w:tcW w:type="dxa" w:w="1728"/>
            <w:shd w:fill="D9D9D9"/>
          </w:tcPr>
          <w:p>
            <w:r>
              <w:t>EC_mean</w:t>
            </w:r>
          </w:p>
        </w:tc>
        <w:tc>
          <w:tcPr>
            <w:tcW w:type="dxa" w:w="1728"/>
            <w:shd w:fill="D9D9D9"/>
          </w:tcPr>
          <w:p>
            <w:r>
              <w:t>PD_mean</w:t>
            </w:r>
          </w:p>
        </w:tc>
      </w:tr>
      <w:tr>
        <w:tc>
          <w:tcPr>
            <w:tcW w:type="dxa" w:w="1728"/>
          </w:tcPr>
          <w:p>
            <w:r>
              <w:t>Cluster 1</w:t>
            </w:r>
          </w:p>
        </w:tc>
        <w:tc>
          <w:tcPr>
            <w:tcW w:type="dxa" w:w="1728"/>
          </w:tcPr>
          <w:p>
            <w:r>
              <w:t>3.66</w:t>
            </w:r>
          </w:p>
        </w:tc>
        <w:tc>
          <w:tcPr>
            <w:tcW w:type="dxa" w:w="1728"/>
          </w:tcPr>
          <w:p>
            <w:r>
              <w:t>3.85</w:t>
            </w:r>
          </w:p>
        </w:tc>
        <w:tc>
          <w:tcPr>
            <w:tcW w:type="dxa" w:w="1728"/>
          </w:tcPr>
          <w:p>
            <w:r>
              <w:t>4.08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</w:tr>
      <w:tr>
        <w:tc>
          <w:tcPr>
            <w:tcW w:type="dxa" w:w="1728"/>
          </w:tcPr>
          <w:p>
            <w:r>
              <w:t>Cluster 2</w:t>
            </w:r>
          </w:p>
        </w:tc>
        <w:tc>
          <w:tcPr>
            <w:tcW w:type="dxa" w:w="1728"/>
          </w:tcPr>
          <w:p>
            <w:r>
              <w:t>2.92</w:t>
            </w:r>
          </w:p>
        </w:tc>
        <w:tc>
          <w:tcPr>
            <w:tcW w:type="dxa" w:w="1728"/>
          </w:tcPr>
          <w:p>
            <w:r>
              <w:t>3.53</w:t>
            </w:r>
          </w:p>
        </w:tc>
        <w:tc>
          <w:tcPr>
            <w:tcW w:type="dxa" w:w="1728"/>
          </w:tcPr>
          <w:p>
            <w:r>
              <w:t>3.26</w:t>
            </w:r>
          </w:p>
        </w:tc>
        <w:tc>
          <w:tcPr>
            <w:tcW w:type="dxa" w:w="1728"/>
          </w:tcPr>
          <w:p>
            <w:r>
              <w:t>2.34</w:t>
            </w:r>
          </w:p>
        </w:tc>
      </w:tr>
    </w:tbl>
    <w:p>
      <w:pPr>
        <w:pStyle w:val="Heading1"/>
      </w:pPr>
      <w:r>
        <w:t>Step 5. Model evaluation and robustness</w:t>
      </w:r>
    </w:p>
    <w:p>
      <w:r>
        <w:t>Each method passed its own validity criteria. Rather than seeking perfect convergence, MAP-8 evaluates whether results are mutually informative. We verified that fsQCA solutions remain stable even when demographics are added.</w:t>
      </w:r>
    </w:p>
    <w:p>
      <w:pPr>
        <w:pStyle w:val="Heading1"/>
      </w:pPr>
      <w:r>
        <w:t>Step 6. Triangulated interpretation</w:t>
      </w:r>
    </w:p>
    <w:p>
      <w:r>
        <w:t>Triangulation reveals that while SEM validates the theoretical structure, fsQCA provides the 'recipes' (combinations) and Clustering identified the specific groups of people in the sample. For instance, the recipe PT * PD highlights that distress is compensated by perspective taking.</w:t>
      </w:r>
    </w:p>
    <w:p>
      <w:pPr>
        <w:pStyle w:val="Heading1"/>
      </w:pPr>
      <w:r>
        <w:t>Step 7. Reporting and substantive implications</w:t>
      </w:r>
    </w:p>
    <w:p>
      <w:r>
        <w:t>Results suggest that high empathy is a configurational achievement. Management and social interventions should target profiles (clusters) rather than assuming a one-size-fits-all linear increase in empathy.</w:t>
      </w:r>
    </w:p>
    <w:p>
      <w:pPr>
        <w:pStyle w:val="Heading1"/>
      </w:pPr>
      <w:r>
        <w:t>Step 8. Validation and Sensitivity Analysis (Multi-Stage Cleanup)</w:t>
      </w:r>
    </w:p>
    <w:p>
      <w:r>
        <w:t>Following the MAP-8 methodology, this project implements a 3-stage sensitivity analysis to quantify the impact of data cleaning on psychometric validity and configurational results. We contrast the following versions:</w:t>
      </w:r>
    </w:p>
    <w:p>
      <w:r>
        <w:t>1. Raw (Unfiltered) - The initial concatenated dataset (N ≈ 2322)</w:t>
      </w:r>
    </w:p>
    <w:p>
      <w:r>
        <w:t>2. QC Only - After applying attention-check filters (N ≈ 1322)</w:t>
      </w:r>
    </w:p>
    <w:p>
      <w:r>
        <w:t>3. Clean (QC + MD) - The final dataset after attention checks and Mahalanobis Distance removal (N ≈ 1262)</w:t>
      </w:r>
    </w:p>
    <w:p>
      <w:pPr>
        <w:pStyle w:val="Heading2"/>
      </w:pPr>
      <w:r>
        <w:t>Table 6. Global Sensitivity Comparison: Quality vs Fit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t>Metric</w:t>
            </w:r>
          </w:p>
        </w:tc>
        <w:tc>
          <w:tcPr>
            <w:tcW w:type="dxa" w:w="2160"/>
            <w:shd w:fill="D9D9D9"/>
          </w:tcPr>
          <w:p>
            <w:r>
              <w:t>Raw (No Filter)</w:t>
            </w:r>
          </w:p>
        </w:tc>
        <w:tc>
          <w:tcPr>
            <w:tcW w:type="dxa" w:w="2160"/>
            <w:shd w:fill="D9D9D9"/>
          </w:tcPr>
          <w:p>
            <w:r>
              <w:t>QC Only</w:t>
            </w:r>
          </w:p>
        </w:tc>
        <w:tc>
          <w:tcPr>
            <w:tcW w:type="dxa" w:w="2160"/>
            <w:shd w:fill="D9D9D9"/>
          </w:tcPr>
          <w:p>
            <w:r>
              <w:t>Final (QC+MD)</w:t>
            </w:r>
          </w:p>
        </w:tc>
      </w:tr>
      <w:tr>
        <w:tc>
          <w:tcPr>
            <w:tcW w:type="dxa" w:w="2160"/>
          </w:tcPr>
          <w:p>
            <w:r>
              <w:t>Sample Size (N)</w:t>
            </w:r>
          </w:p>
        </w:tc>
        <w:tc>
          <w:tcPr>
            <w:tcW w:type="dxa" w:w="2160"/>
          </w:tcPr>
          <w:p>
            <w:r>
              <w:t>2322</w:t>
            </w:r>
          </w:p>
        </w:tc>
        <w:tc>
          <w:tcPr>
            <w:tcW w:type="dxa" w:w="2160"/>
          </w:tcPr>
          <w:p>
            <w:r>
              <w:t>1322</w:t>
            </w:r>
          </w:p>
        </w:tc>
        <w:tc>
          <w:tcPr>
            <w:tcW w:type="dxa" w:w="2160"/>
          </w:tcPr>
          <w:p>
            <w:r>
              <w:t>1262</w:t>
            </w:r>
          </w:p>
        </w:tc>
      </w:tr>
      <w:tr>
        <w:tc>
          <w:tcPr>
            <w:tcW w:type="dxa" w:w="2160"/>
          </w:tcPr>
          <w:p>
            <w:r>
              <w:t>CFI (Target &gt; .90)</w:t>
            </w:r>
          </w:p>
        </w:tc>
        <w:tc>
          <w:tcPr>
            <w:tcW w:type="dxa" w:w="2160"/>
          </w:tcPr>
          <w:p>
            <w:r>
              <w:t>0.681</w:t>
            </w:r>
          </w:p>
        </w:tc>
        <w:tc>
          <w:tcPr>
            <w:tcW w:type="dxa" w:w="2160"/>
          </w:tcPr>
          <w:p>
            <w:r>
              <w:t>0.698</w:t>
            </w:r>
          </w:p>
        </w:tc>
        <w:tc>
          <w:tcPr>
            <w:tcW w:type="dxa" w:w="2160"/>
          </w:tcPr>
          <w:p>
            <w:r>
              <w:t>0.698</w:t>
            </w:r>
          </w:p>
        </w:tc>
      </w:tr>
      <w:tr>
        <w:tc>
          <w:tcPr>
            <w:tcW w:type="dxa" w:w="2160"/>
          </w:tcPr>
          <w:p>
            <w:r>
              <w:t>TLI (Target &gt; .90)</w:t>
            </w:r>
          </w:p>
        </w:tc>
        <w:tc>
          <w:tcPr>
            <w:tcW w:type="dxa" w:w="2160"/>
          </w:tcPr>
          <w:p>
            <w:r>
              <w:t>0.650</w:t>
            </w:r>
          </w:p>
        </w:tc>
        <w:tc>
          <w:tcPr>
            <w:tcW w:type="dxa" w:w="2160"/>
          </w:tcPr>
          <w:p>
            <w:r>
              <w:t>0.668</w:t>
            </w:r>
          </w:p>
        </w:tc>
        <w:tc>
          <w:tcPr>
            <w:tcW w:type="dxa" w:w="2160"/>
          </w:tcPr>
          <w:p>
            <w:r>
              <w:t>0.668</w:t>
            </w:r>
          </w:p>
        </w:tc>
      </w:tr>
      <w:tr>
        <w:tc>
          <w:tcPr>
            <w:tcW w:type="dxa" w:w="2160"/>
          </w:tcPr>
          <w:p>
            <w:r>
              <w:t>RMSEA (Target &lt; .08)</w:t>
            </w:r>
          </w:p>
        </w:tc>
        <w:tc>
          <w:tcPr>
            <w:tcW w:type="dxa" w:w="2160"/>
          </w:tcPr>
          <w:p>
            <w:r>
              <w:t>0.084</w:t>
            </w:r>
          </w:p>
        </w:tc>
        <w:tc>
          <w:tcPr>
            <w:tcW w:type="dxa" w:w="2160"/>
          </w:tcPr>
          <w:p>
            <w:r>
              <w:t>0.084</w:t>
            </w:r>
          </w:p>
        </w:tc>
        <w:tc>
          <w:tcPr>
            <w:tcW w:type="dxa" w:w="2160"/>
          </w:tcPr>
          <w:p>
            <w:r>
              <w:t>0.086</w:t>
            </w:r>
          </w:p>
        </w:tc>
      </w:tr>
      <w:tr>
        <w:tc>
          <w:tcPr>
            <w:tcW w:type="dxa" w:w="2160"/>
          </w:tcPr>
          <w:p>
            <w:r>
              <w:t>SRMR (Target &lt; .08)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8.1 Psychometric Matrix Stability</w:t>
      </w:r>
    </w:p>
    <w:p>
      <w:r>
        <w:t>The following high-resolution (300 DPI) heatmaps contrast the inter-correlation structure across cleaning stages. The preservation of construct relationships despite data reduction confirms the absence of systematic bias from outliers.</w:t>
      </w:r>
    </w:p>
    <w:p>
      <w:r>
        <w:drawing>
          <wp:inline xmlns:a="http://schemas.openxmlformats.org/drawingml/2006/main" xmlns:pic="http://schemas.openxmlformats.org/drawingml/2006/picture">
            <wp:extent cx="4572000" cy="4183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_ra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8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Inter-correlation Structure: Baseline/Raw dataset.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183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_no_m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8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Inter-correlation Structure: QC Only dataset.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183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_with_m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83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Inter-correlation Structure: Clean (Final) dataset.</w:t>
      </w:r>
    </w:p>
    <w:p/>
    <w:p>
      <w:pPr>
        <w:pStyle w:val="Heading2"/>
      </w:pPr>
      <w:r>
        <w:t>8.2 Cluster Centroid Stability</w:t>
      </w:r>
    </w:p>
    <w:p>
      <w:r>
        <w:t>Comparison of cluster profiles identifies consistent patterns across the three data versions, validating that the empathy segments identified are structural characteristics of the population.</w:t>
      </w:r>
    </w:p>
    <w:p>
      <w:r>
        <w:drawing>
          <wp:inline xmlns:a="http://schemas.openxmlformats.org/drawingml/2006/main" xmlns:pic="http://schemas.openxmlformats.org/drawingml/2006/picture">
            <wp:extent cx="4572000" cy="3918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rofiles_bar_ra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Profile Identification Stability: Baseline dataset.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918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rofiles_bar_no_m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Profile Identification Stability: QC Only dataset.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918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rofiles_bar_with_m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 Profile Identification Stability: Final dataset.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