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MAP-8 Empathy Research: Psychometric and Configurational Analysis Results</w:t>
      </w:r>
    </w:p>
    <w:p>
      <w:pPr>
        <w:pStyle w:val="Heading1"/>
      </w:pPr>
      <w:r>
        <w:t>1. Reliability and Internal Consistency</w:t>
      </w:r>
    </w:p>
    <w:p>
      <w:r>
        <w:t>The internal consistency of the IRI scales was evaluated using Cronbach's Alpha. Preliminary sampling adequacy was confirmed via KMO and Bartlett tests.</w:t>
      </w:r>
    </w:p>
    <w:p>
      <w:r>
        <w:t>Global KMO Measure of Sampling Adequacy: 0.886 (Excellent).</w:t>
      </w:r>
    </w:p>
    <w:p>
      <w:pPr>
        <w:pStyle w:val="Heading2"/>
      </w:pPr>
      <w:r>
        <w:t>Table 1. Cronbach's Alpha per Subscale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D9D9"/>
          </w:tcPr>
          <w:p>
            <w:r>
              <w:t>IRI Subscale</w:t>
            </w:r>
          </w:p>
        </w:tc>
        <w:tc>
          <w:tcPr>
            <w:tcW w:type="dxa" w:w="4320"/>
            <w:shd w:fill="D9D9D9"/>
          </w:tcPr>
          <w:p>
            <w:r>
              <w:t>Cronbach's Alpha (α)</w:t>
            </w:r>
          </w:p>
        </w:tc>
      </w:tr>
      <w:tr>
        <w:tc>
          <w:tcPr>
            <w:tcW w:type="dxa" w:w="4320"/>
          </w:tcPr>
          <w:p>
            <w:r>
              <w:t>FS</w:t>
            </w:r>
          </w:p>
        </w:tc>
        <w:tc>
          <w:tcPr>
            <w:tcW w:type="dxa" w:w="4320"/>
          </w:tcPr>
          <w:p>
            <w:r>
              <w:t>0.701</w:t>
            </w:r>
          </w:p>
        </w:tc>
      </w:tr>
      <w:tr>
        <w:tc>
          <w:tcPr>
            <w:tcW w:type="dxa" w:w="4320"/>
          </w:tcPr>
          <w:p>
            <w:r>
              <w:t>PT</w:t>
            </w:r>
          </w:p>
        </w:tc>
        <w:tc>
          <w:tcPr>
            <w:tcW w:type="dxa" w:w="4320"/>
          </w:tcPr>
          <w:p>
            <w:r>
              <w:t>0.693</w:t>
            </w:r>
          </w:p>
        </w:tc>
      </w:tr>
      <w:tr>
        <w:tc>
          <w:tcPr>
            <w:tcW w:type="dxa" w:w="4320"/>
          </w:tcPr>
          <w:p>
            <w:r>
              <w:t>EC</w:t>
            </w:r>
          </w:p>
        </w:tc>
        <w:tc>
          <w:tcPr>
            <w:tcW w:type="dxa" w:w="4320"/>
          </w:tcPr>
          <w:p>
            <w:r>
              <w:t>0.662</w:t>
            </w:r>
          </w:p>
        </w:tc>
      </w:tr>
      <w:tr>
        <w:tc>
          <w:tcPr>
            <w:tcW w:type="dxa" w:w="4320"/>
          </w:tcPr>
          <w:p>
            <w:r>
              <w:t>PD</w:t>
            </w:r>
          </w:p>
        </w:tc>
        <w:tc>
          <w:tcPr>
            <w:tcW w:type="dxa" w:w="4320"/>
          </w:tcPr>
          <w:p>
            <w:r>
              <w:t>0.741</w:t>
            </w:r>
          </w:p>
        </w:tc>
      </w:tr>
    </w:tbl>
    <w:p>
      <w:pPr>
        <w:pStyle w:val="Heading2"/>
      </w:pPr>
      <w:r>
        <w:t>Table 2. Inter-scale Correlations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D9D9"/>
          </w:tcPr>
          <w:p>
            <w:r>
              <w:t>Dimension</w:t>
            </w:r>
          </w:p>
        </w:tc>
        <w:tc>
          <w:tcPr>
            <w:tcW w:type="dxa" w:w="1728"/>
            <w:shd w:fill="D9D9D9"/>
          </w:tcPr>
          <w:p>
            <w:r>
              <w:t>FS_mean</w:t>
            </w:r>
          </w:p>
        </w:tc>
        <w:tc>
          <w:tcPr>
            <w:tcW w:type="dxa" w:w="1728"/>
            <w:shd w:fill="D9D9D9"/>
          </w:tcPr>
          <w:p>
            <w:r>
              <w:t>PT_mean</w:t>
            </w:r>
          </w:p>
        </w:tc>
        <w:tc>
          <w:tcPr>
            <w:tcW w:type="dxa" w:w="1728"/>
            <w:shd w:fill="D9D9D9"/>
          </w:tcPr>
          <w:p>
            <w:r>
              <w:t>EC_mean</w:t>
            </w:r>
          </w:p>
        </w:tc>
        <w:tc>
          <w:tcPr>
            <w:tcW w:type="dxa" w:w="1728"/>
            <w:shd w:fill="D9D9D9"/>
          </w:tcPr>
          <w:p>
            <w:r>
              <w:t>PD_mean</w:t>
            </w:r>
          </w:p>
        </w:tc>
      </w:tr>
      <w:tr>
        <w:tc>
          <w:tcPr>
            <w:tcW w:type="dxa" w:w="1728"/>
          </w:tcPr>
          <w:p>
            <w:r>
              <w:t>FS_mean</w:t>
            </w:r>
          </w:p>
        </w:tc>
        <w:tc>
          <w:tcPr>
            <w:tcW w:type="dxa" w:w="1728"/>
          </w:tcPr>
          <w:p>
            <w:r>
              <w:t>1.000</w:t>
            </w:r>
          </w:p>
        </w:tc>
        <w:tc>
          <w:tcPr>
            <w:tcW w:type="dxa" w:w="1728"/>
          </w:tcPr>
          <w:p>
            <w:r>
              <w:t>0.517</w:t>
            </w:r>
          </w:p>
        </w:tc>
        <w:tc>
          <w:tcPr>
            <w:tcW w:type="dxa" w:w="1728"/>
          </w:tcPr>
          <w:p>
            <w:r>
              <w:t>0.581</w:t>
            </w:r>
          </w:p>
        </w:tc>
        <w:tc>
          <w:tcPr>
            <w:tcW w:type="dxa" w:w="1728"/>
          </w:tcPr>
          <w:p>
            <w:r>
              <w:t>0.585</w:t>
            </w:r>
          </w:p>
        </w:tc>
      </w:tr>
      <w:tr>
        <w:tc>
          <w:tcPr>
            <w:tcW w:type="dxa" w:w="1728"/>
          </w:tcPr>
          <w:p>
            <w:r>
              <w:t>PT_mean</w:t>
            </w:r>
          </w:p>
        </w:tc>
        <w:tc>
          <w:tcPr>
            <w:tcW w:type="dxa" w:w="1728"/>
          </w:tcPr>
          <w:p>
            <w:r>
              <w:t>0.517</w:t>
            </w:r>
          </w:p>
        </w:tc>
        <w:tc>
          <w:tcPr>
            <w:tcW w:type="dxa" w:w="1728"/>
          </w:tcPr>
          <w:p>
            <w:r>
              <w:t>1.000</w:t>
            </w:r>
          </w:p>
        </w:tc>
        <w:tc>
          <w:tcPr>
            <w:tcW w:type="dxa" w:w="1728"/>
          </w:tcPr>
          <w:p>
            <w:r>
              <w:t>0.513</w:t>
            </w:r>
          </w:p>
        </w:tc>
        <w:tc>
          <w:tcPr>
            <w:tcW w:type="dxa" w:w="1728"/>
          </w:tcPr>
          <w:p>
            <w:r>
              <w:t>0.484</w:t>
            </w:r>
          </w:p>
        </w:tc>
      </w:tr>
      <w:tr>
        <w:tc>
          <w:tcPr>
            <w:tcW w:type="dxa" w:w="1728"/>
          </w:tcPr>
          <w:p>
            <w:r>
              <w:t>EC_mean</w:t>
            </w:r>
          </w:p>
        </w:tc>
        <w:tc>
          <w:tcPr>
            <w:tcW w:type="dxa" w:w="1728"/>
          </w:tcPr>
          <w:p>
            <w:r>
              <w:t>0.581</w:t>
            </w:r>
          </w:p>
        </w:tc>
        <w:tc>
          <w:tcPr>
            <w:tcW w:type="dxa" w:w="1728"/>
          </w:tcPr>
          <w:p>
            <w:r>
              <w:t>0.513</w:t>
            </w:r>
          </w:p>
        </w:tc>
        <w:tc>
          <w:tcPr>
            <w:tcW w:type="dxa" w:w="1728"/>
          </w:tcPr>
          <w:p>
            <w:r>
              <w:t>1.000</w:t>
            </w:r>
          </w:p>
        </w:tc>
        <w:tc>
          <w:tcPr>
            <w:tcW w:type="dxa" w:w="1728"/>
          </w:tcPr>
          <w:p>
            <w:r>
              <w:t>0.688</w:t>
            </w:r>
          </w:p>
        </w:tc>
      </w:tr>
      <w:tr>
        <w:tc>
          <w:tcPr>
            <w:tcW w:type="dxa" w:w="1728"/>
          </w:tcPr>
          <w:p>
            <w:r>
              <w:t>PD_mean</w:t>
            </w:r>
          </w:p>
        </w:tc>
        <w:tc>
          <w:tcPr>
            <w:tcW w:type="dxa" w:w="1728"/>
          </w:tcPr>
          <w:p>
            <w:r>
              <w:t>0.585</w:t>
            </w:r>
          </w:p>
        </w:tc>
        <w:tc>
          <w:tcPr>
            <w:tcW w:type="dxa" w:w="1728"/>
          </w:tcPr>
          <w:p>
            <w:r>
              <w:t>0.484</w:t>
            </w:r>
          </w:p>
        </w:tc>
        <w:tc>
          <w:tcPr>
            <w:tcW w:type="dxa" w:w="1728"/>
          </w:tcPr>
          <w:p>
            <w:r>
              <w:t>0.688</w:t>
            </w:r>
          </w:p>
        </w:tc>
        <w:tc>
          <w:tcPr>
            <w:tcW w:type="dxa" w:w="1728"/>
          </w:tcPr>
          <w:p>
            <w:r>
              <w:t>1.000</w:t>
            </w:r>
          </w:p>
        </w:tc>
      </w:tr>
    </w:tbl>
    <w:p>
      <w:pPr>
        <w:pStyle w:val="Heading1"/>
      </w:pPr>
      <w:r>
        <w:t>2. Confirmatory Factor Analysis (CFA)</w:t>
      </w:r>
    </w:p>
    <w:p>
      <w:r>
        <w:t>A CFA was performed using semopy to validate the multidimensional structure of the IRI.</w:t>
      </w:r>
    </w:p>
    <w:p>
      <w:pPr>
        <w:pStyle w:val="Heading2"/>
      </w:pPr>
      <w:r>
        <w:t>Table 3. Latent Factor Loadings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D9D9"/>
          </w:tcPr>
          <w:p>
            <w:r>
              <w:t>Latent Variable</w:t>
            </w:r>
          </w:p>
        </w:tc>
        <w:tc>
          <w:tcPr>
            <w:tcW w:type="dxa" w:w="2160"/>
            <w:shd w:fill="D9D9D9"/>
          </w:tcPr>
          <w:p>
            <w:r>
              <w:t>Item</w:t>
            </w:r>
          </w:p>
        </w:tc>
        <w:tc>
          <w:tcPr>
            <w:tcW w:type="dxa" w:w="2160"/>
            <w:shd w:fill="D9D9D9"/>
          </w:tcPr>
          <w:p>
            <w:r>
              <w:t>Standardized Estimate</w:t>
            </w:r>
          </w:p>
        </w:tc>
        <w:tc>
          <w:tcPr>
            <w:tcW w:type="dxa" w:w="2160"/>
            <w:shd w:fill="D9D9D9"/>
          </w:tcPr>
          <w:p>
            <w:r>
              <w:t>p-value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FS1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FS5</w:t>
            </w:r>
          </w:p>
        </w:tc>
        <w:tc>
          <w:tcPr>
            <w:tcW w:type="dxa" w:w="2160"/>
          </w:tcPr>
          <w:p>
            <w:r>
              <w:t>1.333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FS7_rev</w:t>
            </w:r>
          </w:p>
        </w:tc>
        <w:tc>
          <w:tcPr>
            <w:tcW w:type="dxa" w:w="2160"/>
          </w:tcPr>
          <w:p>
            <w:r>
              <w:t>-0.321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FS12_rev</w:t>
            </w:r>
          </w:p>
        </w:tc>
        <w:tc>
          <w:tcPr>
            <w:tcW w:type="dxa" w:w="2160"/>
          </w:tcPr>
          <w:p>
            <w:r>
              <w:t>-0.509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FS16</w:t>
            </w:r>
          </w:p>
        </w:tc>
        <w:tc>
          <w:tcPr>
            <w:tcW w:type="dxa" w:w="2160"/>
          </w:tcPr>
          <w:p>
            <w:r>
              <w:t>1.364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FS23</w:t>
            </w:r>
          </w:p>
        </w:tc>
        <w:tc>
          <w:tcPr>
            <w:tcW w:type="dxa" w:w="2160"/>
          </w:tcPr>
          <w:p>
            <w:r>
              <w:t>1.390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FS26</w:t>
            </w:r>
          </w:p>
        </w:tc>
        <w:tc>
          <w:tcPr>
            <w:tcW w:type="dxa" w:w="2160"/>
          </w:tcPr>
          <w:p>
            <w:r>
              <w:t>1.271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PT3_rev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PT8</w:t>
            </w:r>
          </w:p>
        </w:tc>
        <w:tc>
          <w:tcPr>
            <w:tcW w:type="dxa" w:w="2160"/>
          </w:tcPr>
          <w:p>
            <w:r>
              <w:t>-1.595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PT11</w:t>
            </w:r>
          </w:p>
        </w:tc>
        <w:tc>
          <w:tcPr>
            <w:tcW w:type="dxa" w:w="2160"/>
          </w:tcPr>
          <w:p>
            <w:r>
              <w:t>-2.107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PT15_rev</w:t>
            </w:r>
          </w:p>
        </w:tc>
        <w:tc>
          <w:tcPr>
            <w:tcW w:type="dxa" w:w="2160"/>
          </w:tcPr>
          <w:p>
            <w:r>
              <w:t>0.633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PT21</w:t>
            </w:r>
          </w:p>
        </w:tc>
        <w:tc>
          <w:tcPr>
            <w:tcW w:type="dxa" w:w="2160"/>
          </w:tcPr>
          <w:p>
            <w:r>
              <w:t>-1.952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PT25</w:t>
            </w:r>
          </w:p>
        </w:tc>
        <w:tc>
          <w:tcPr>
            <w:tcW w:type="dxa" w:w="2160"/>
          </w:tcPr>
          <w:p>
            <w:r>
              <w:t>-1.894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PT28</w:t>
            </w:r>
          </w:p>
        </w:tc>
        <w:tc>
          <w:tcPr>
            <w:tcW w:type="dxa" w:w="2160"/>
          </w:tcPr>
          <w:p>
            <w:r>
              <w:t>-1.822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EC2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EC4_rev</w:t>
            </w:r>
          </w:p>
        </w:tc>
        <w:tc>
          <w:tcPr>
            <w:tcW w:type="dxa" w:w="2160"/>
          </w:tcPr>
          <w:p>
            <w:r>
              <w:t>-0.414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EC9</w:t>
            </w:r>
          </w:p>
        </w:tc>
        <w:tc>
          <w:tcPr>
            <w:tcW w:type="dxa" w:w="2160"/>
          </w:tcPr>
          <w:p>
            <w:r>
              <w:t>0.981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EC14_rev</w:t>
            </w:r>
          </w:p>
        </w:tc>
        <w:tc>
          <w:tcPr>
            <w:tcW w:type="dxa" w:w="2160"/>
          </w:tcPr>
          <w:p>
            <w:r>
              <w:t>-0.499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EC18_rev</w:t>
            </w:r>
          </w:p>
        </w:tc>
        <w:tc>
          <w:tcPr>
            <w:tcW w:type="dxa" w:w="2160"/>
          </w:tcPr>
          <w:p>
            <w:r>
              <w:t>-0.326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EC20</w:t>
            </w:r>
          </w:p>
        </w:tc>
        <w:tc>
          <w:tcPr>
            <w:tcW w:type="dxa" w:w="2160"/>
          </w:tcPr>
          <w:p>
            <w:r>
              <w:t>1.127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EC22</w:t>
            </w:r>
          </w:p>
        </w:tc>
        <w:tc>
          <w:tcPr>
            <w:tcW w:type="dxa" w:w="2160"/>
          </w:tcPr>
          <w:p>
            <w:r>
              <w:t>1.209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PD6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PD10</w:t>
            </w:r>
          </w:p>
        </w:tc>
        <w:tc>
          <w:tcPr>
            <w:tcW w:type="dxa" w:w="2160"/>
          </w:tcPr>
          <w:p>
            <w:r>
              <w:t>0.981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PD13_rev</w:t>
            </w:r>
          </w:p>
        </w:tc>
        <w:tc>
          <w:tcPr>
            <w:tcW w:type="dxa" w:w="2160"/>
          </w:tcPr>
          <w:p>
            <w:r>
              <w:t>-0.472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PD17</w:t>
            </w:r>
          </w:p>
        </w:tc>
        <w:tc>
          <w:tcPr>
            <w:tcW w:type="dxa" w:w="2160"/>
          </w:tcPr>
          <w:p>
            <w:r>
              <w:t>1.074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PD19_rev</w:t>
            </w:r>
          </w:p>
        </w:tc>
        <w:tc>
          <w:tcPr>
            <w:tcW w:type="dxa" w:w="2160"/>
          </w:tcPr>
          <w:p>
            <w:r>
              <w:t>-0.321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PD24</w:t>
            </w:r>
          </w:p>
        </w:tc>
        <w:tc>
          <w:tcPr>
            <w:tcW w:type="dxa" w:w="2160"/>
          </w:tcPr>
          <w:p>
            <w:r>
              <w:t>0.898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PD27</w:t>
            </w:r>
          </w:p>
        </w:tc>
        <w:tc>
          <w:tcPr>
            <w:tcW w:type="dxa" w:w="2160"/>
          </w:tcPr>
          <w:p>
            <w:r>
              <w:t>0.737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</w:tbl>
    <w:p>
      <w:pPr>
        <w:pStyle w:val="Heading1"/>
      </w:pPr>
      <w:r>
        <w:t>3. Empathy Profiles (Clustering Analysis)</w:t>
      </w:r>
    </w:p>
    <w:p>
      <w:r>
        <w:t>Hierarchical clustering (Ward's method) identified distinct empathy profiles among the study participants.</w:t>
      </w:r>
    </w:p>
    <w:p>
      <w:r>
        <w:drawing>
          <wp:inline xmlns:a="http://schemas.openxmlformats.org/drawingml/2006/main" xmlns:pic="http://schemas.openxmlformats.org/drawingml/2006/picture">
            <wp:extent cx="45720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uster_profi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1. Identified empathy profiles based on IRI subscale means.</w:t>
      </w:r>
    </w:p>
    <w:p>
      <w:pPr>
        <w:pStyle w:val="Heading1"/>
      </w:pPr>
      <w:r>
        <w:t>4. Configurational Analysis (fsQCA)</w:t>
      </w:r>
    </w:p>
    <w:p>
      <w:r>
        <w:t>Configurational analysis identifies pathways to high empathy (equifinality).</w:t>
      </w:r>
    </w:p>
    <w:p>
      <w:pPr>
        <w:pStyle w:val="Heading2"/>
      </w:pPr>
      <w:r>
        <w:t>Table 4. Truth Table Overview</w:t>
      </w:r>
    </w:p>
    <w:p>
      <w:r>
        <w:rPr>
          <w:rFonts w:ascii="Courier New" w:hAnsi="Courier New"/>
          <w:sz w:val="16"/>
        </w:rPr>
        <w:t>OUT: output value</w:t>
        <w:br/>
        <w:t xml:space="preserve">    n: number of cases in configuration</w:t>
        <w:br/>
        <w:t xml:space="preserve"> incl: sufficiency inclusion score</w:t>
        <w:br/>
        <w:t xml:space="preserve">  PRI: proportional reduction in inconsistency</w:t>
        <w:br/>
        <w:br/>
        <w:t xml:space="preserve">     fs_f pt_f ec_f pd_f   OUT    n    incl  PRI  </w:t>
        <w:br/>
        <w:t>16    1    1    1    1      1     228  0.996 0.991</w:t>
        <w:br/>
        <w:t>12    1    0    1    1      1     134  0.979 0.926</w:t>
        <w:br/>
        <w:t>15    1    1    1    0      1     138  0.974 0.908</w:t>
        <w:br/>
        <w:t>14    1    1    0    1      1     33   0.974 0.845</w:t>
        <w:br/>
        <w:t xml:space="preserve"> 8    0    1    1    1      1     66   0.971 0.858</w:t>
        <w:br/>
        <w:t>11    1    0    1    0      1     30   0.939 0.539</w:t>
        <w:br/>
        <w:t xml:space="preserve"> 4    0    0    1    1      1     46   0.911 0.458</w:t>
        <w:br/>
        <w:t>13    1    1    0    0      1     54   0.906 0.442</w:t>
        <w:br/>
        <w:t xml:space="preserve"> 6    0    1    0    1      1     33   0.902 0.302</w:t>
        <w:br/>
        <w:t xml:space="preserve"> 7    0    1    1    0      1     81   0.883 0.379</w:t>
        <w:br/>
        <w:t>10    1    0    0    1      1     91   0.874 0.431</w:t>
        <w:br/>
        <w:t xml:space="preserve"> 3    0    0    1    0      1     23   0.841 0.083</w:t>
        <w:br/>
        <w:t xml:space="preserve"> 9    1    0    0    0      1     40   0.820 0.104</w:t>
        <w:br/>
        <w:t xml:space="preserve"> 5    0    1    0    0      0     81   0.749 0.037</w:t>
        <w:br/>
        <w:t xml:space="preserve"> 2    0    0    0    1      0     101  0.721 0.066</w:t>
        <w:br/>
        <w:t xml:space="preserve"> 1    0    0    0    0      0     124  0.593 0.007</w:t>
      </w:r>
    </w:p>
    <w:p>
      <w:pPr>
        <w:pStyle w:val="Heading2"/>
      </w:pPr>
      <w:r>
        <w:t>Table 5. Parsimonious Solution Configurations</w:t>
      </w:r>
    </w:p>
    <w:p>
      <w:r>
        <w:rPr>
          <w:rFonts w:ascii="Courier New" w:hAnsi="Courier New"/>
          <w:sz w:val="18"/>
        </w:rPr>
        <w:t>M1: fs_f + ec_f + pt_f*pd_f -&gt; iri_total_f</w:t>
        <w:br/>
        <w:br/>
        <w:t xml:space="preserve">              inclS   PRI   covS   covU  </w:t>
        <w:br/>
        <w:t xml:space="preserve">---------------------------------------- </w:t>
        <w:br/>
        <w:t xml:space="preserve">1       fs_f  0.837  0.722  0.850  0.072 </w:t>
        <w:br/>
        <w:t xml:space="preserve">2       ec_f  0.857  0.751  0.868  0.058 </w:t>
        <w:br/>
        <w:t xml:space="preserve">3  pt_f*pd_f  0.939  0.869  0.615  0.009 </w:t>
        <w:br/>
        <w:t xml:space="preserve">---------------------------------------- </w:t>
        <w:br/>
        <w:t xml:space="preserve">          M1  0.766  0.628  0.988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