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Results Analysis: IRI Empathy Configurations</w:t>
      </w:r>
    </w:p>
    <w:p>
      <w:pPr>
        <w:pStyle w:val="Heading1"/>
      </w:pPr>
      <w:r>
        <w:t>1. Data Strategy and Preliminary Diagnostics</w:t>
      </w:r>
    </w:p>
    <w:p>
      <w:r>
        <w:t>The study processed a multi-cohort dataset (2023-2024) through a three-stage cleaning filter. The final analytical sample consists of N = 1,083 high-quality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Stage</w:t>
            </w:r>
          </w:p>
        </w:tc>
        <w:tc>
          <w:tcPr>
            <w:tcW w:type="dxa" w:w="4320"/>
            <w:shd w:fill="D9D9D9"/>
          </w:tcPr>
          <w:p>
            <w:r>
              <w:t>Sample Size (N)</w:t>
            </w:r>
          </w:p>
        </w:tc>
      </w:tr>
      <w:tr>
        <w:tc>
          <w:tcPr>
            <w:tcW w:type="dxa" w:w="4320"/>
          </w:tcPr>
          <w:p>
            <w:r>
              <w:t>Raw Input</w:t>
            </w:r>
          </w:p>
        </w:tc>
        <w:tc>
          <w:tcPr>
            <w:tcW w:type="dxa" w:w="4320"/>
          </w:tcPr>
          <w:p>
            <w:r>
              <w:t>2,081</w:t>
            </w:r>
          </w:p>
        </w:tc>
      </w:tr>
      <w:tr>
        <w:tc>
          <w:tcPr>
            <w:tcW w:type="dxa" w:w="4320"/>
          </w:tcPr>
          <w:p>
            <w:r>
              <w:t>After Attention QC</w:t>
            </w:r>
          </w:p>
        </w:tc>
        <w:tc>
          <w:tcPr>
            <w:tcW w:type="dxa" w:w="4320"/>
          </w:tcPr>
          <w:p>
            <w:r>
              <w:t>1,138</w:t>
            </w:r>
          </w:p>
        </w:tc>
      </w:tr>
      <w:tr>
        <w:tc>
          <w:tcPr>
            <w:tcW w:type="dxa" w:w="4320"/>
          </w:tcPr>
          <w:p>
            <w:r>
              <w:t>Final (QC + Mahalanobis)</w:t>
            </w:r>
          </w:p>
        </w:tc>
        <w:tc>
          <w:tcPr>
            <w:tcW w:type="dxa" w:w="4320"/>
          </w:tcPr>
          <w:p>
            <w:r>
              <w:t>1,083</w:t>
            </w:r>
          </w:p>
        </w:tc>
      </w:tr>
    </w:tbl>
    <w:p>
      <w:r>
        <w:br/>
        <w:t>Psychometric adequacy was validated via Global KMO MSA (0.888) and Bartlett’s test (p &lt; .001). Reliability estimates (Cronbach's Alpha) for FS (0.709), PT (0.718), and PD (0.756) were strong, while EC (0.671) showed acceptable multidimensional breadth.</w:t>
      </w:r>
    </w:p>
    <w:p>
      <w:pPr>
        <w:pStyle w:val="Heading1"/>
      </w:pPr>
      <w:r>
        <w:t>2. Latent Structure (CFA)</w:t>
      </w:r>
    </w:p>
    <w:p>
      <w:r>
        <w:t>Confirmatory Factor Analysis confirmed the four-factor hierarchy. While the global fit indices (CFI = 0.698, RMSEA = 0.086) reflect the complexity of the 28-item instrument, the factorability and significant paths support the construct validity of the IRI empathy subscales.</w:t>
      </w:r>
    </w:p>
    <w:p>
      <w:pPr>
        <w:pStyle w:val="Heading1"/>
      </w:pPr>
      <w:r>
        <w:t>3. Configurational Analysis (fsQCA)</w:t>
      </w:r>
    </w:p>
    <w:p>
      <w:r>
        <w:t>High total empathy membership was modeled as the outcome of 4 IRI dimensions and 2 sociodemographic context factors. The analysis reveals equifinality: there is no single 'correct' path to empathy, but rather a set of sufficient recipes.</w:t>
      </w:r>
    </w:p>
    <w:p>
      <w:pPr>
        <w:pStyle w:val="Heading2"/>
      </w:pPr>
      <w:r>
        <w:t>Key Sufficient Recipes:</w:t>
      </w:r>
    </w:p>
    <w:p>
      <w:pPr>
        <w:pStyle w:val="ListBullet"/>
      </w:pPr>
      <w:r>
        <w:t>A. Cognitive-Affective Synergies: High Fantasy and Perspective Taking are primary drivers.</w:t>
      </w:r>
    </w:p>
    <w:p>
      <w:pPr>
        <w:pStyle w:val="ListBullet"/>
      </w:pPr>
      <w:r>
        <w:t>B. The Distress Bridge: Perspective Taking combined with Personal Distress characterizes a specific path.</w:t>
      </w:r>
    </w:p>
    <w:p>
      <w:pPr>
        <w:pStyle w:val="ListBullet"/>
      </w:pPr>
      <w:r>
        <w:t>C. Contextual Influence: Gender (Female) and high SES appear as conditions in specific configurations.</w:t>
      </w:r>
    </w:p>
    <w:p>
      <w:pPr>
        <w:pStyle w:val="Heading1"/>
      </w:pPr>
      <w:r>
        <w:t>4. Empathy Profiles (Clustering)</w:t>
      </w:r>
    </w:p>
    <w:p>
      <w:r>
        <w:t>Hierarchical clustering identified two distinct profiles of empathizers in the population: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t>Subscale</w:t>
            </w:r>
          </w:p>
        </w:tc>
        <w:tc>
          <w:tcPr>
            <w:tcW w:type="dxa" w:w="1728"/>
            <w:shd w:fill="D9D9D9"/>
          </w:tcPr>
          <w:p>
            <w:r>
              <w:t>FS_mean</w:t>
            </w:r>
          </w:p>
        </w:tc>
        <w:tc>
          <w:tcPr>
            <w:tcW w:type="dxa" w:w="1728"/>
            <w:shd w:fill="D9D9D9"/>
          </w:tcPr>
          <w:p>
            <w:r>
              <w:t>PT_mean</w:t>
            </w:r>
          </w:p>
        </w:tc>
        <w:tc>
          <w:tcPr>
            <w:tcW w:type="dxa" w:w="1728"/>
            <w:shd w:fill="D9D9D9"/>
          </w:tcPr>
          <w:p>
            <w:r>
              <w:t>EC_mean</w:t>
            </w:r>
          </w:p>
        </w:tc>
        <w:tc>
          <w:tcPr>
            <w:tcW w:type="dxa" w:w="1728"/>
            <w:shd w:fill="D9D9D9"/>
          </w:tcPr>
          <w:p>
            <w:r>
              <w:t>PD_mean</w:t>
            </w:r>
          </w:p>
        </w:tc>
      </w:tr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3.66</w:t>
            </w:r>
          </w:p>
        </w:tc>
        <w:tc>
          <w:tcPr>
            <w:tcW w:type="dxa" w:w="1728"/>
          </w:tcPr>
          <w:p>
            <w:r>
              <w:t>3.85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</w:tr>
      <w:tr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2.92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3.26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</w:tr>
    </w:tbl>
    <w:p>
      <w:pPr>
        <w:pStyle w:val="Heading1"/>
      </w:pPr>
      <w:r>
        <w:t>5. Sensitivity and Validation</w:t>
      </w:r>
    </w:p>
    <w:p>
      <w:r>
        <w:t>Stability analysis across Raw, QC, and Clean samples reveals that the core findings—factor inter-correlations, cluster centroids, and sufficiency pathways—are not sensitive to the exclusion of outliers. This confirms the robustness of the reported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