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MAP-8 Empathy Research: Psychometric and Configurational Analysis Results</w:t>
      </w:r>
    </w:p>
    <w:p>
      <w:pPr>
        <w:pStyle w:val="Heading1"/>
      </w:pPr>
      <w:r>
        <w:t>1. Reliability and Inter-scale Correlations</w:t>
      </w:r>
    </w:p>
    <w:p>
      <w:r>
        <w:t>The internal consistency of the IRI scales was evaluated using Cronbach's Alpha. Preliminary EFA checks (KMO and Bartlett) confirmed the suitability of the data.</w:t>
      </w:r>
    </w:p>
    <w:p>
      <w:pPr>
        <w:pStyle w:val="ListBullet"/>
      </w:pPr>
      <w:r>
        <w:t>--- Scale: FS (Cronbach's Alpha: 0.701) ---</w:t>
      </w:r>
    </w:p>
    <w:p>
      <w:pPr>
        <w:pStyle w:val="ListBullet"/>
      </w:pPr>
      <w:r>
        <w:t>--- Scale: PT (Cronbach's Alpha: 0.693) ---</w:t>
      </w:r>
    </w:p>
    <w:p>
      <w:pPr>
        <w:pStyle w:val="ListBullet"/>
      </w:pPr>
      <w:r>
        <w:t>--- Scale: EC (Cronbach's Alpha: 0.662) ---</w:t>
      </w:r>
    </w:p>
    <w:p>
      <w:pPr>
        <w:pStyle w:val="ListBullet"/>
      </w:pPr>
      <w:r>
        <w:t>--- Scale: PD (Cronbach's Alpha: 0.741) ---</w:t>
      </w:r>
    </w:p>
    <w:p>
      <w:pPr>
        <w:pStyle w:val="Heading2"/>
      </w:pPr>
      <w:r>
        <w:t>Factor Correlations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Dimension</w:t>
            </w:r>
          </w:p>
        </w:tc>
        <w:tc>
          <w:tcPr>
            <w:tcW w:type="dxa" w:w="1728"/>
          </w:tcPr>
          <w:p>
            <w:r>
              <w:t>FS_mean</w:t>
            </w:r>
          </w:p>
        </w:tc>
        <w:tc>
          <w:tcPr>
            <w:tcW w:type="dxa" w:w="1728"/>
          </w:tcPr>
          <w:p>
            <w:r>
              <w:t>PT_mean</w:t>
            </w:r>
          </w:p>
        </w:tc>
        <w:tc>
          <w:tcPr>
            <w:tcW w:type="dxa" w:w="1728"/>
          </w:tcPr>
          <w:p>
            <w:r>
              <w:t>EC_mean</w:t>
            </w:r>
          </w:p>
        </w:tc>
        <w:tc>
          <w:tcPr>
            <w:tcW w:type="dxa" w:w="1728"/>
          </w:tcPr>
          <w:p>
            <w:r>
              <w:t>PD_mean</w:t>
            </w:r>
          </w:p>
        </w:tc>
      </w:tr>
      <w:tr>
        <w:tc>
          <w:tcPr>
            <w:tcW w:type="dxa" w:w="1728"/>
          </w:tcPr>
          <w:p>
            <w:r>
              <w:t>FS_mean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  <w:tc>
          <w:tcPr>
            <w:tcW w:type="dxa" w:w="1728"/>
          </w:tcPr>
          <w:p>
            <w:r>
              <w:t>0.581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</w:tr>
      <w:tr>
        <w:tc>
          <w:tcPr>
            <w:tcW w:type="dxa" w:w="1728"/>
          </w:tcPr>
          <w:p>
            <w:r>
              <w:t>PT_mean</w:t>
            </w:r>
          </w:p>
        </w:tc>
        <w:tc>
          <w:tcPr>
            <w:tcW w:type="dxa" w:w="1728"/>
          </w:tcPr>
          <w:p>
            <w:r>
              <w:t>0.517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0.513</w:t>
            </w:r>
          </w:p>
        </w:tc>
        <w:tc>
          <w:tcPr>
            <w:tcW w:type="dxa" w:w="1728"/>
          </w:tcPr>
          <w:p>
            <w:r>
              <w:t>0.484</w:t>
            </w:r>
          </w:p>
        </w:tc>
      </w:tr>
      <w:tr>
        <w:tc>
          <w:tcPr>
            <w:tcW w:type="dxa" w:w="1728"/>
          </w:tcPr>
          <w:p>
            <w:r>
              <w:t>EC_mean</w:t>
            </w:r>
          </w:p>
        </w:tc>
        <w:tc>
          <w:tcPr>
            <w:tcW w:type="dxa" w:w="1728"/>
          </w:tcPr>
          <w:p>
            <w:r>
              <w:t>0.581</w:t>
            </w:r>
          </w:p>
        </w:tc>
        <w:tc>
          <w:tcPr>
            <w:tcW w:type="dxa" w:w="1728"/>
          </w:tcPr>
          <w:p>
            <w:r>
              <w:t>0.513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  <w:tc>
          <w:tcPr>
            <w:tcW w:type="dxa" w:w="1728"/>
          </w:tcPr>
          <w:p>
            <w:r>
              <w:t>0.688</w:t>
            </w:r>
          </w:p>
        </w:tc>
      </w:tr>
      <w:tr>
        <w:tc>
          <w:tcPr>
            <w:tcW w:type="dxa" w:w="1728"/>
          </w:tcPr>
          <w:p>
            <w:r>
              <w:t>PD_mean</w:t>
            </w:r>
          </w:p>
        </w:tc>
        <w:tc>
          <w:tcPr>
            <w:tcW w:type="dxa" w:w="1728"/>
          </w:tcPr>
          <w:p>
            <w:r>
              <w:t>0.585</w:t>
            </w:r>
          </w:p>
        </w:tc>
        <w:tc>
          <w:tcPr>
            <w:tcW w:type="dxa" w:w="1728"/>
          </w:tcPr>
          <w:p>
            <w:r>
              <w:t>0.484</w:t>
            </w:r>
          </w:p>
        </w:tc>
        <w:tc>
          <w:tcPr>
            <w:tcW w:type="dxa" w:w="1728"/>
          </w:tcPr>
          <w:p>
            <w:r>
              <w:t>0.688</w:t>
            </w:r>
          </w:p>
        </w:tc>
        <w:tc>
          <w:tcPr>
            <w:tcW w:type="dxa" w:w="1728"/>
          </w:tcPr>
          <w:p>
            <w:r>
              <w:t>1.000</w:t>
            </w:r>
          </w:p>
        </w:tc>
      </w:tr>
    </w:tbl>
    <w:p>
      <w:pPr>
        <w:pStyle w:val="Heading1"/>
      </w:pPr>
      <w:r>
        <w:t>2. Confirmatory Factor Analysis (CFA)</w:t>
      </w:r>
    </w:p>
    <w:p>
      <w:r>
        <w:t>A CFA was performed to validate the multidimensional structure of the IRI.</w:t>
      </w:r>
    </w:p>
    <w:p>
      <w:pPr>
        <w:pStyle w:val="Heading2"/>
      </w:pPr>
      <w:r>
        <w:t>Table: Latent Factor Loadings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Latent</w:t>
            </w:r>
          </w:p>
        </w:tc>
        <w:tc>
          <w:tcPr>
            <w:tcW w:type="dxa" w:w="2160"/>
          </w:tcPr>
          <w:p>
            <w:r>
              <w:t>Item</w:t>
            </w:r>
          </w:p>
        </w:tc>
        <w:tc>
          <w:tcPr>
            <w:tcW w:type="dxa" w:w="2160"/>
          </w:tcPr>
          <w:p>
            <w:r>
              <w:t>Estimate</w:t>
            </w:r>
          </w:p>
        </w:tc>
        <w:tc>
          <w:tcPr>
            <w:tcW w:type="dxa" w:w="2160"/>
          </w:tcPr>
          <w:p>
            <w:r>
              <w:t>p-value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FS5</w:t>
            </w:r>
          </w:p>
        </w:tc>
        <w:tc>
          <w:tcPr>
            <w:tcW w:type="dxa" w:w="2160"/>
          </w:tcPr>
          <w:p>
            <w:r>
              <w:t>1.333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FS7_rev</w:t>
            </w:r>
          </w:p>
        </w:tc>
        <w:tc>
          <w:tcPr>
            <w:tcW w:type="dxa" w:w="2160"/>
          </w:tcPr>
          <w:p>
            <w:r>
              <w:t>-0.321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FS12_rev</w:t>
            </w:r>
          </w:p>
        </w:tc>
        <w:tc>
          <w:tcPr>
            <w:tcW w:type="dxa" w:w="2160"/>
          </w:tcPr>
          <w:p>
            <w:r>
              <w:t>-0.509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FS16</w:t>
            </w:r>
          </w:p>
        </w:tc>
        <w:tc>
          <w:tcPr>
            <w:tcW w:type="dxa" w:w="2160"/>
          </w:tcPr>
          <w:p>
            <w:r>
              <w:t>1.364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FS23</w:t>
            </w:r>
          </w:p>
        </w:tc>
        <w:tc>
          <w:tcPr>
            <w:tcW w:type="dxa" w:w="2160"/>
          </w:tcPr>
          <w:p>
            <w:r>
              <w:t>1.390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FS</w:t>
            </w:r>
          </w:p>
        </w:tc>
        <w:tc>
          <w:tcPr>
            <w:tcW w:type="dxa" w:w="2160"/>
          </w:tcPr>
          <w:p>
            <w:r>
              <w:t>FS26</w:t>
            </w:r>
          </w:p>
        </w:tc>
        <w:tc>
          <w:tcPr>
            <w:tcW w:type="dxa" w:w="2160"/>
          </w:tcPr>
          <w:p>
            <w:r>
              <w:t>1.271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PT3_rev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PT8</w:t>
            </w:r>
          </w:p>
        </w:tc>
        <w:tc>
          <w:tcPr>
            <w:tcW w:type="dxa" w:w="2160"/>
          </w:tcPr>
          <w:p>
            <w:r>
              <w:t>-1.595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PT11</w:t>
            </w:r>
          </w:p>
        </w:tc>
        <w:tc>
          <w:tcPr>
            <w:tcW w:type="dxa" w:w="2160"/>
          </w:tcPr>
          <w:p>
            <w:r>
              <w:t>-2.107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PT15_rev</w:t>
            </w:r>
          </w:p>
        </w:tc>
        <w:tc>
          <w:tcPr>
            <w:tcW w:type="dxa" w:w="2160"/>
          </w:tcPr>
          <w:p>
            <w:r>
              <w:t>0.633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PT21</w:t>
            </w:r>
          </w:p>
        </w:tc>
        <w:tc>
          <w:tcPr>
            <w:tcW w:type="dxa" w:w="2160"/>
          </w:tcPr>
          <w:p>
            <w:r>
              <w:t>-1.952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PT25</w:t>
            </w:r>
          </w:p>
        </w:tc>
        <w:tc>
          <w:tcPr>
            <w:tcW w:type="dxa" w:w="2160"/>
          </w:tcPr>
          <w:p>
            <w:r>
              <w:t>-1.894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PT</w:t>
            </w:r>
          </w:p>
        </w:tc>
        <w:tc>
          <w:tcPr>
            <w:tcW w:type="dxa" w:w="2160"/>
          </w:tcPr>
          <w:p>
            <w:r>
              <w:t>PT28</w:t>
            </w:r>
          </w:p>
        </w:tc>
        <w:tc>
          <w:tcPr>
            <w:tcW w:type="dxa" w:w="2160"/>
          </w:tcPr>
          <w:p>
            <w:r>
              <w:t>-1.822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EC4_rev</w:t>
            </w:r>
          </w:p>
        </w:tc>
        <w:tc>
          <w:tcPr>
            <w:tcW w:type="dxa" w:w="2160"/>
          </w:tcPr>
          <w:p>
            <w:r>
              <w:t>-0.414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EC9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EC14_rev</w:t>
            </w:r>
          </w:p>
        </w:tc>
        <w:tc>
          <w:tcPr>
            <w:tcW w:type="dxa" w:w="2160"/>
          </w:tcPr>
          <w:p>
            <w:r>
              <w:t>-0.499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EC18_rev</w:t>
            </w:r>
          </w:p>
        </w:tc>
        <w:tc>
          <w:tcPr>
            <w:tcW w:type="dxa" w:w="2160"/>
          </w:tcPr>
          <w:p>
            <w:r>
              <w:t>-0.326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EC20</w:t>
            </w:r>
          </w:p>
        </w:tc>
        <w:tc>
          <w:tcPr>
            <w:tcW w:type="dxa" w:w="2160"/>
          </w:tcPr>
          <w:p>
            <w:r>
              <w:t>1.127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EC</w:t>
            </w:r>
          </w:p>
        </w:tc>
        <w:tc>
          <w:tcPr>
            <w:tcW w:type="dxa" w:w="2160"/>
          </w:tcPr>
          <w:p>
            <w:r>
              <w:t>EC22</w:t>
            </w:r>
          </w:p>
        </w:tc>
        <w:tc>
          <w:tcPr>
            <w:tcW w:type="dxa" w:w="2160"/>
          </w:tcPr>
          <w:p>
            <w:r>
              <w:t>1.209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PD6</w:t>
            </w:r>
          </w:p>
        </w:tc>
        <w:tc>
          <w:tcPr>
            <w:tcW w:type="dxa" w:w="2160"/>
          </w:tcPr>
          <w:p>
            <w:r>
              <w:t>1.000</w:t>
            </w:r>
          </w:p>
        </w:tc>
        <w:tc>
          <w:tcPr>
            <w:tcW w:type="dxa" w:w="2160"/>
          </w:tcPr>
          <w:p>
            <w:r>
              <w:t>-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PD10</w:t>
            </w:r>
          </w:p>
        </w:tc>
        <w:tc>
          <w:tcPr>
            <w:tcW w:type="dxa" w:w="2160"/>
          </w:tcPr>
          <w:p>
            <w:r>
              <w:t>0.981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PD13_rev</w:t>
            </w:r>
          </w:p>
        </w:tc>
        <w:tc>
          <w:tcPr>
            <w:tcW w:type="dxa" w:w="2160"/>
          </w:tcPr>
          <w:p>
            <w:r>
              <w:t>-0.472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PD17</w:t>
            </w:r>
          </w:p>
        </w:tc>
        <w:tc>
          <w:tcPr>
            <w:tcW w:type="dxa" w:w="2160"/>
          </w:tcPr>
          <w:p>
            <w:r>
              <w:t>1.074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PD19_rev</w:t>
            </w:r>
          </w:p>
        </w:tc>
        <w:tc>
          <w:tcPr>
            <w:tcW w:type="dxa" w:w="2160"/>
          </w:tcPr>
          <w:p>
            <w:r>
              <w:t>-0.321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PD24</w:t>
            </w:r>
          </w:p>
        </w:tc>
        <w:tc>
          <w:tcPr>
            <w:tcW w:type="dxa" w:w="2160"/>
          </w:tcPr>
          <w:p>
            <w:r>
              <w:t>0.898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  <w:tr>
        <w:tc>
          <w:tcPr>
            <w:tcW w:type="dxa" w:w="2160"/>
          </w:tcPr>
          <w:p>
            <w:r>
              <w:t>PD</w:t>
            </w:r>
          </w:p>
        </w:tc>
        <w:tc>
          <w:tcPr>
            <w:tcW w:type="dxa" w:w="2160"/>
          </w:tcPr>
          <w:p>
            <w:r>
              <w:t>PD27</w:t>
            </w:r>
          </w:p>
        </w:tc>
        <w:tc>
          <w:tcPr>
            <w:tcW w:type="dxa" w:w="2160"/>
          </w:tcPr>
          <w:p>
            <w:r>
              <w:t>0.737</w:t>
            </w:r>
          </w:p>
        </w:tc>
        <w:tc>
          <w:tcPr>
            <w:tcW w:type="dxa" w:w="2160"/>
          </w:tcPr>
          <w:p>
            <w:r>
              <w:t>&lt; 0.001</w:t>
            </w:r>
          </w:p>
        </w:tc>
      </w:tr>
    </w:tbl>
    <w:p>
      <w:pPr>
        <w:pStyle w:val="Heading1"/>
      </w:pPr>
      <w:r>
        <w:t>3. Empathy Profiles (Hierarchical Clustering)</w:t>
      </w:r>
    </w:p>
    <w:p>
      <w:r>
        <w:t>Using Ward's method, latent profiles were identified based on subscale means.</w:t>
      </w:r>
    </w:p>
    <w:p>
      <w:r>
        <w:drawing>
          <wp:inline xmlns:a="http://schemas.openxmlformats.org/drawingml/2006/main" xmlns:pic="http://schemas.openxmlformats.org/drawingml/2006/picture">
            <wp:extent cx="5029200" cy="3017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uster_profil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Figure 1. Empathy profiles identified via Hierarchical Clustering.</w:t>
      </w:r>
    </w:p>
    <w:p>
      <w:pPr>
        <w:pStyle w:val="Heading1"/>
      </w:pPr>
      <w:r>
        <w:t>4. Configurational Analysis (fsQCA)</w:t>
      </w:r>
    </w:p>
    <w:p>
      <w:r>
        <w:t>The fsQCA analysis reveals pathways leading to high total empathy.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