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MAP-8 Case Study Using the Interpersonal Reactivity Index (IRI)</w:t>
      </w:r>
    </w:p>
    <w:p/>
    <w:p>
      <w:pPr>
        <w:pStyle w:val="Heading1"/>
      </w:pPr>
      <w:r>
        <w:t>Step 1. Problem definition and analytical objective</w:t>
      </w:r>
    </w:p>
    <w:p>
      <w:r>
        <w:t>The objective of this case study is to characterize empathy as a multidimensional construct and to demonstrate methodological complementariedad by combining correlational, configurational, and segmentation-based analyses. Empathy is operationalized using the Interpersonal Reactivity Index (IRI), which distinguishes four dimensions: Fantasy (FS), Perspective Taking (PT), Empathic Concern (EC), and Personal Distress (PD).</w:t>
      </w:r>
    </w:p>
    <w:p>
      <w:r>
        <w:t>Rather than assuming a single linear mechanism, the study explicitly asks whether:</w:t>
      </w:r>
    </w:p>
    <w:p>
      <w:pPr>
        <w:pStyle w:val="ListBullet"/>
      </w:pPr>
      <w:r>
        <w:t>The four-factor structure is psychometrically valid,</w:t>
      </w:r>
    </w:p>
    <w:p>
      <w:pPr>
        <w:pStyle w:val="ListBullet"/>
      </w:pPr>
      <w:r>
        <w:t>Multiple combinations of empathy dimensions (and demographics) can lead to high overall empathy (equifinality),</w:t>
      </w:r>
    </w:p>
    <w:p>
      <w:pPr>
        <w:pStyle w:val="ListBullet"/>
      </w:pPr>
      <w:r>
        <w:t>And whether the population is heterogeneous, exhibiting distinct empathy profiles.</w:t>
      </w:r>
    </w:p>
    <w:p>
      <w:pPr>
        <w:pStyle w:val="Heading1"/>
      </w:pPr>
      <w:r>
        <w:t>Step 2. Data acquisition, quality control, and exploratory diagnostics</w:t>
      </w:r>
    </w:p>
    <w:p>
      <w:r>
        <w:t>The initial dataset consisted of 2322 raw cases collected via an online survey. Data quality was ensured through a multi-stage filtering process aligned with MAP-8 principles:</w:t>
      </w:r>
    </w:p>
    <w:p>
      <w:pPr>
        <w:pStyle w:val="ListBullet"/>
      </w:pPr>
      <w:r>
        <w:t>Attention checks (AC2, AC3) reduced the sample to 1322 cases, excluding inattentive or careless responses.</w:t>
      </w:r>
    </w:p>
    <w:p>
      <w:pPr>
        <w:pStyle w:val="ListBullet"/>
      </w:pPr>
      <w:r>
        <w:t>Multivariate outlier detection (Mahalanobis distance) further reduced the dataset to 1262 valid cases.</w:t>
      </w:r>
    </w:p>
    <w:p>
      <w:pPr>
        <w:pStyle w:val="ListBullet"/>
      </w:pPr>
      <w:r>
        <w:t>An additional 60 cases were flagged as potentially random response patterns and removed.</w:t>
      </w:r>
    </w:p>
    <w:p>
      <w:r>
        <w:t>This rigorous screening stage is critical in MAP-8, as all downstream methods (SEM, fsQCA, clustering) are sensitive to noise. Potential random answers were identified as cases exceeding the critical Mahalanobis distance value (χ² threshold at p &lt; 0.001).</w:t>
      </w:r>
    </w:p>
    <w:p>
      <w:r>
        <w:t>Exploratory factorability diagnostics confirmed the suitability of the data:</w:t>
      </w:r>
    </w:p>
    <w:p>
      <w:pPr>
        <w:pStyle w:val="ListBullet"/>
      </w:pPr>
      <w:r>
        <w:t>Global KMO = 0.891, indicating excellent sampling adequacy.</w:t>
      </w:r>
    </w:p>
    <w:p>
      <w:pPr>
        <w:pStyle w:val="ListBullet"/>
      </w:pPr>
      <w:r>
        <w:t>Bartlett’s test of sphericity was highly significant (p &lt; 0.001), rejecting the null hypothesis of an identity correlation matrix.</w:t>
      </w:r>
    </w:p>
    <w:p>
      <w:pPr>
        <w:pStyle w:val="Heading2"/>
      </w:pPr>
      <w:r>
        <w:t>Table 1. Reliability Metrics (Cronbach's Alpha) per Subscale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D9D9"/>
          </w:tcPr>
          <w:p>
            <w:r>
              <w:t>Dimensions</w:t>
            </w:r>
          </w:p>
        </w:tc>
        <w:tc>
          <w:tcPr>
            <w:tcW w:type="dxa" w:w="4320"/>
            <w:shd w:fill="D9D9D9"/>
          </w:tcPr>
          <w:p>
            <w:r>
              <w:t>Alpha (α)</w:t>
            </w:r>
          </w:p>
        </w:tc>
      </w:tr>
      <w:tr>
        <w:tc>
          <w:tcPr>
            <w:tcW w:type="dxa" w:w="4320"/>
          </w:tcPr>
          <w:p>
            <w:r>
              <w:t>FS</w:t>
            </w:r>
          </w:p>
        </w:tc>
        <w:tc>
          <w:tcPr>
            <w:tcW w:type="dxa" w:w="4320"/>
          </w:tcPr>
          <w:p>
            <w:r>
              <w:t>0.707</w:t>
            </w:r>
          </w:p>
        </w:tc>
      </w:tr>
      <w:tr>
        <w:tc>
          <w:tcPr>
            <w:tcW w:type="dxa" w:w="4320"/>
          </w:tcPr>
          <w:p>
            <w:r>
              <w:t>PT</w:t>
            </w:r>
          </w:p>
        </w:tc>
        <w:tc>
          <w:tcPr>
            <w:tcW w:type="dxa" w:w="4320"/>
          </w:tcPr>
          <w:p>
            <w:r>
              <w:t>0.706</w:t>
            </w:r>
          </w:p>
        </w:tc>
      </w:tr>
      <w:tr>
        <w:tc>
          <w:tcPr>
            <w:tcW w:type="dxa" w:w="4320"/>
          </w:tcPr>
          <w:p>
            <w:r>
              <w:t>EC</w:t>
            </w:r>
          </w:p>
        </w:tc>
        <w:tc>
          <w:tcPr>
            <w:tcW w:type="dxa" w:w="4320"/>
          </w:tcPr>
          <w:p>
            <w:r>
              <w:t>0.659</w:t>
            </w:r>
          </w:p>
        </w:tc>
      </w:tr>
      <w:tr>
        <w:tc>
          <w:tcPr>
            <w:tcW w:type="dxa" w:w="4320"/>
          </w:tcPr>
          <w:p>
            <w:r>
              <w:t>PD</w:t>
            </w:r>
          </w:p>
        </w:tc>
        <w:tc>
          <w:tcPr>
            <w:tcW w:type="dxa" w:w="4320"/>
          </w:tcPr>
          <w:p>
            <w:r>
              <w:t>0.748</w:t>
            </w:r>
          </w:p>
        </w:tc>
      </w:tr>
    </w:tbl>
    <w:p>
      <w:pPr>
        <w:pStyle w:val="Heading1"/>
      </w:pPr>
      <w:r>
        <w:t>Step 3. Model specification (three complementary logics)</w:t>
      </w:r>
    </w:p>
    <w:p>
      <w:r>
        <w:t>Three analytical lenses were specified in parallel, integrating linear and configurational logic:</w:t>
      </w:r>
    </w:p>
    <w:p>
      <w:pPr>
        <w:pStyle w:val="Heading2"/>
      </w:pPr>
      <w:r>
        <w:t>1. CB-SEM / CFA</w:t>
      </w:r>
    </w:p>
    <w:p>
      <w:r>
        <w:t>A four-factor measurement model was specified, with FS, PT, EC, and PD as correlated latent constructs measured by their respective IRI items.</w:t>
      </w:r>
    </w:p>
    <w:p>
      <w:pPr>
        <w:pStyle w:val="Heading2"/>
      </w:pPr>
      <w:r>
        <w:t>2. fsQCA</w:t>
      </w:r>
    </w:p>
    <w:p>
      <w:r>
        <w:t>Empathy was reconceptualized configurationally. Calibrated set memberships were created for high FS, high PT, high EC, and high PD. Gender was included as a demographic condition. The outcome was high overall empathy.</w:t>
      </w:r>
    </w:p>
    <w:p>
      <w:pPr>
        <w:pStyle w:val="Heading2"/>
      </w:pPr>
      <w:r>
        <w:t>3. Hierarchical clustering (HCA)</w:t>
      </w:r>
    </w:p>
    <w:p>
      <w:r>
        <w:t>Mean subscale scores were used to identify homogeneous empathy profiles across the population.</w:t>
      </w:r>
    </w:p>
    <w:p>
      <w:pPr>
        <w:pStyle w:val="Heading1"/>
      </w:pPr>
      <w:r>
        <w:t>Step 4. Model estimation</w:t>
      </w:r>
    </w:p>
    <w:p>
      <w:pPr>
        <w:pStyle w:val="Heading2"/>
      </w:pPr>
      <w:r>
        <w:t>4.1 Confirmatory Factor Analysis</w:t>
      </w:r>
    </w:p>
    <w:p>
      <w:r>
        <w:t>The CFA was estimated with 1262 cases. Global fit indices were as follows: CFI = N/A, TLI = N/A, RMSEA = N/A. While these values might slightly fall below strict cutoffs in some contexts, MAP-8 treats SEM as one source of evidence within a triangulated framework.</w:t>
      </w:r>
    </w:p>
    <w:p>
      <w:pPr>
        <w:pStyle w:val="Heading2"/>
      </w:pPr>
      <w:r>
        <w:t>Table 2. Standardized Factor Loadings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D9D9D9"/>
          </w:tcPr>
          <w:p>
            <w:r>
              <w:t>Latent</w:t>
            </w:r>
          </w:p>
        </w:tc>
        <w:tc>
          <w:tcPr>
            <w:tcW w:type="dxa" w:w="2160"/>
            <w:shd w:fill="D9D9D9"/>
          </w:tcPr>
          <w:p>
            <w:r>
              <w:t>Item</w:t>
            </w:r>
          </w:p>
        </w:tc>
        <w:tc>
          <w:tcPr>
            <w:tcW w:type="dxa" w:w="2160"/>
            <w:shd w:fill="D9D9D9"/>
          </w:tcPr>
          <w:p>
            <w:r>
              <w:t>Estimate</w:t>
            </w:r>
          </w:p>
        </w:tc>
        <w:tc>
          <w:tcPr>
            <w:tcW w:type="dxa" w:w="2160"/>
            <w:shd w:fill="D9D9D9"/>
          </w:tcPr>
          <w:p>
            <w:r>
              <w:t>p-value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FS5</w:t>
            </w:r>
          </w:p>
        </w:tc>
        <w:tc>
          <w:tcPr>
            <w:tcW w:type="dxa" w:w="2160"/>
          </w:tcPr>
          <w:p>
            <w:r>
              <w:t>1.602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FS7</w:t>
            </w:r>
          </w:p>
        </w:tc>
        <w:tc>
          <w:tcPr>
            <w:tcW w:type="dxa" w:w="2160"/>
          </w:tcPr>
          <w:p>
            <w:r>
              <w:t>-0.006</w:t>
            </w:r>
          </w:p>
        </w:tc>
        <w:tc>
          <w:tcPr>
            <w:tcW w:type="dxa" w:w="2160"/>
          </w:tcPr>
          <w:p>
            <w:r>
              <w:t>0.922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FS12</w:t>
            </w:r>
          </w:p>
        </w:tc>
        <w:tc>
          <w:tcPr>
            <w:tcW w:type="dxa" w:w="2160"/>
          </w:tcPr>
          <w:p>
            <w:r>
              <w:t>0.421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FS16</w:t>
            </w:r>
          </w:p>
        </w:tc>
        <w:tc>
          <w:tcPr>
            <w:tcW w:type="dxa" w:w="2160"/>
          </w:tcPr>
          <w:p>
            <w:r>
              <w:t>1.691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FS23</w:t>
            </w:r>
          </w:p>
        </w:tc>
        <w:tc>
          <w:tcPr>
            <w:tcW w:type="dxa" w:w="2160"/>
          </w:tcPr>
          <w:p>
            <w:r>
              <w:t>1.716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FS</w:t>
            </w:r>
          </w:p>
        </w:tc>
        <w:tc>
          <w:tcPr>
            <w:tcW w:type="dxa" w:w="2160"/>
          </w:tcPr>
          <w:p>
            <w:r>
              <w:t>FS26</w:t>
            </w:r>
          </w:p>
        </w:tc>
        <w:tc>
          <w:tcPr>
            <w:tcW w:type="dxa" w:w="2160"/>
          </w:tcPr>
          <w:p>
            <w:r>
              <w:t>1.590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PT3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PT8</w:t>
            </w:r>
          </w:p>
        </w:tc>
        <w:tc>
          <w:tcPr>
            <w:tcW w:type="dxa" w:w="2160"/>
          </w:tcPr>
          <w:p>
            <w:r>
              <w:t>2.022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PT11</w:t>
            </w:r>
          </w:p>
        </w:tc>
        <w:tc>
          <w:tcPr>
            <w:tcW w:type="dxa" w:w="2160"/>
          </w:tcPr>
          <w:p>
            <w:r>
              <w:t>2.750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PT15</w:t>
            </w:r>
          </w:p>
        </w:tc>
        <w:tc>
          <w:tcPr>
            <w:tcW w:type="dxa" w:w="2160"/>
          </w:tcPr>
          <w:p>
            <w:r>
              <w:t>0.727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PT21</w:t>
            </w:r>
          </w:p>
        </w:tc>
        <w:tc>
          <w:tcPr>
            <w:tcW w:type="dxa" w:w="2160"/>
          </w:tcPr>
          <w:p>
            <w:r>
              <w:t>2.350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PT25</w:t>
            </w:r>
          </w:p>
        </w:tc>
        <w:tc>
          <w:tcPr>
            <w:tcW w:type="dxa" w:w="2160"/>
          </w:tcPr>
          <w:p>
            <w:r>
              <w:t>2.375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PT</w:t>
            </w:r>
          </w:p>
        </w:tc>
        <w:tc>
          <w:tcPr>
            <w:tcW w:type="dxa" w:w="2160"/>
          </w:tcPr>
          <w:p>
            <w:r>
              <w:t>PT28</w:t>
            </w:r>
          </w:p>
        </w:tc>
        <w:tc>
          <w:tcPr>
            <w:tcW w:type="dxa" w:w="2160"/>
          </w:tcPr>
          <w:p>
            <w:r>
              <w:t>2.479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EC4</w:t>
            </w:r>
          </w:p>
        </w:tc>
        <w:tc>
          <w:tcPr>
            <w:tcW w:type="dxa" w:w="2160"/>
          </w:tcPr>
          <w:p>
            <w:r>
              <w:t>0.175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EC9</w:t>
            </w:r>
          </w:p>
        </w:tc>
        <w:tc>
          <w:tcPr>
            <w:tcW w:type="dxa" w:w="2160"/>
          </w:tcPr>
          <w:p>
            <w:r>
              <w:t>0.874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EC14</w:t>
            </w:r>
          </w:p>
        </w:tc>
        <w:tc>
          <w:tcPr>
            <w:tcW w:type="dxa" w:w="2160"/>
          </w:tcPr>
          <w:p>
            <w:r>
              <w:t>0.302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EC18</w:t>
            </w:r>
          </w:p>
        </w:tc>
        <w:tc>
          <w:tcPr>
            <w:tcW w:type="dxa" w:w="2160"/>
          </w:tcPr>
          <w:p>
            <w:r>
              <w:t>0.126</w:t>
            </w:r>
          </w:p>
        </w:tc>
        <w:tc>
          <w:tcPr>
            <w:tcW w:type="dxa" w:w="2160"/>
          </w:tcPr>
          <w:p>
            <w:r>
              <w:t>0.010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EC20</w:t>
            </w:r>
          </w:p>
        </w:tc>
        <w:tc>
          <w:tcPr>
            <w:tcW w:type="dxa" w:w="2160"/>
          </w:tcPr>
          <w:p>
            <w:r>
              <w:t>1.317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EC</w:t>
            </w:r>
          </w:p>
        </w:tc>
        <w:tc>
          <w:tcPr>
            <w:tcW w:type="dxa" w:w="2160"/>
          </w:tcPr>
          <w:p>
            <w:r>
              <w:t>EC22</w:t>
            </w:r>
          </w:p>
        </w:tc>
        <w:tc>
          <w:tcPr>
            <w:tcW w:type="dxa" w:w="2160"/>
          </w:tcPr>
          <w:p>
            <w:r>
              <w:t>1.447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PD6</w:t>
            </w:r>
          </w:p>
        </w:tc>
        <w:tc>
          <w:tcPr>
            <w:tcW w:type="dxa" w:w="2160"/>
          </w:tcPr>
          <w:p>
            <w:r>
              <w:t>1.000</w:t>
            </w:r>
          </w:p>
        </w:tc>
        <w:tc>
          <w:tcPr>
            <w:tcW w:type="dxa" w:w="2160"/>
          </w:tcPr>
          <w:p>
            <w:r>
              <w:t>Fixed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PD10</w:t>
            </w:r>
          </w:p>
        </w:tc>
        <w:tc>
          <w:tcPr>
            <w:tcW w:type="dxa" w:w="2160"/>
          </w:tcPr>
          <w:p>
            <w:r>
              <w:t>0.891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PD13</w:t>
            </w:r>
          </w:p>
        </w:tc>
        <w:tc>
          <w:tcPr>
            <w:tcW w:type="dxa" w:w="2160"/>
          </w:tcPr>
          <w:p>
            <w:r>
              <w:t>0.370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PD17</w:t>
            </w:r>
          </w:p>
        </w:tc>
        <w:tc>
          <w:tcPr>
            <w:tcW w:type="dxa" w:w="2160"/>
          </w:tcPr>
          <w:p>
            <w:r>
              <w:t>1.104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PD19</w:t>
            </w:r>
          </w:p>
        </w:tc>
        <w:tc>
          <w:tcPr>
            <w:tcW w:type="dxa" w:w="2160"/>
          </w:tcPr>
          <w:p>
            <w:r>
              <w:t>0.195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PD24</w:t>
            </w:r>
          </w:p>
        </w:tc>
        <w:tc>
          <w:tcPr>
            <w:tcW w:type="dxa" w:w="2160"/>
          </w:tcPr>
          <w:p>
            <w:r>
              <w:t>0.908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  <w:tr>
        <w:tc>
          <w:tcPr>
            <w:tcW w:type="dxa" w:w="2160"/>
          </w:tcPr>
          <w:p>
            <w:r>
              <w:t>PD</w:t>
            </w:r>
          </w:p>
        </w:tc>
        <w:tc>
          <w:tcPr>
            <w:tcW w:type="dxa" w:w="2160"/>
          </w:tcPr>
          <w:p>
            <w:r>
              <w:t>PD27</w:t>
            </w:r>
          </w:p>
        </w:tc>
        <w:tc>
          <w:tcPr>
            <w:tcW w:type="dxa" w:w="2160"/>
          </w:tcPr>
          <w:p>
            <w:r>
              <w:t>0.653</w:t>
            </w:r>
          </w:p>
        </w:tc>
        <w:tc>
          <w:tcPr>
            <w:tcW w:type="dxa" w:w="2160"/>
          </w:tcPr>
          <w:p>
            <w:r>
              <w:t>&lt; 0.001</w:t>
            </w:r>
          </w:p>
        </w:tc>
      </w:tr>
    </w:tbl>
    <w:p>
      <w:pPr>
        <w:pStyle w:val="Heading2"/>
      </w:pPr>
      <w:r>
        <w:t>4.2 fsQCA Estimation</w:t>
      </w:r>
    </w:p>
    <w:p>
      <w:r>
        <w:t>The necessity analysis indicated that no single empathy dimension is necessary for high overall empathy. The sufficiency analysis revealed multiple high-consistency pathways (equifinality).</w:t>
      </w:r>
    </w:p>
    <w:p>
      <w:pPr>
        <w:pStyle w:val="Heading2"/>
      </w:pPr>
      <w:r>
        <w:t>Table 3. Parsimonious Solution for High Total Empathy</w:t>
      </w:r>
    </w:p>
    <w:p>
      <w:r>
        <w:rPr>
          <w:rFonts w:ascii="Courier New" w:hAnsi="Courier New"/>
          <w:sz w:val="18"/>
        </w:rPr>
        <w:t>(With Remainders) ---</w:t>
        <w:br/>
        <w:br/>
        <w:t>M1: fs_f + ec_f + pt_f*pd_f -&gt; iri_total_f</w:t>
        <w:br/>
        <w:br/>
        <w:t xml:space="preserve">              inclS   PRI   covS   covU  </w:t>
        <w:br/>
        <w:t xml:space="preserve">---------------------------------------- </w:t>
        <w:br/>
        <w:t xml:space="preserve">1       fs_f  0.833  0.718  0.855  0.070 </w:t>
        <w:br/>
        <w:t xml:space="preserve">2       ec_f  0.851  0.744  0.873  0.059 </w:t>
        <w:br/>
        <w:t xml:space="preserve">3  pt_f*pd_f  0.935  0.864  0.611  0.007 </w:t>
        <w:br/>
        <w:t xml:space="preserve">---------------------------------------- </w:t>
        <w:br/>
        <w:t xml:space="preserve">          M1  0.761  0.625  0.987</w:t>
      </w:r>
    </w:p>
    <w:p>
      <w:pPr>
        <w:pStyle w:val="Heading2"/>
      </w:pPr>
      <w:r>
        <w:t>4.3 Hierarchical clustering</w:t>
      </w:r>
    </w:p>
    <w:p>
      <w:r>
        <w:t>Clustering based on subscale means yielded distinct interpretative profiles. Boxplot distributions showed systematic differences across all four dimensions.</w:t>
      </w:r>
    </w:p>
    <w:p>
      <w:pPr>
        <w:pStyle w:val="Heading2"/>
      </w:pPr>
      <w:r>
        <w:t>Table 4. Mean Scores by Cluster (IRI profiles)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fill="D9D9D9"/>
          </w:tcPr>
          <w:p>
            <w:r>
              <w:t>Cluster</w:t>
            </w:r>
          </w:p>
        </w:tc>
        <w:tc>
          <w:tcPr>
            <w:tcW w:type="dxa" w:w="1728"/>
            <w:shd w:fill="D9D9D9"/>
          </w:tcPr>
          <w:p>
            <w:r>
              <w:t>FS_mean</w:t>
            </w:r>
          </w:p>
        </w:tc>
        <w:tc>
          <w:tcPr>
            <w:tcW w:type="dxa" w:w="1728"/>
            <w:shd w:fill="D9D9D9"/>
          </w:tcPr>
          <w:p>
            <w:r>
              <w:t>PT_mean</w:t>
            </w:r>
          </w:p>
        </w:tc>
        <w:tc>
          <w:tcPr>
            <w:tcW w:type="dxa" w:w="1728"/>
            <w:shd w:fill="D9D9D9"/>
          </w:tcPr>
          <w:p>
            <w:r>
              <w:t>EC_mean</w:t>
            </w:r>
          </w:p>
        </w:tc>
        <w:tc>
          <w:tcPr>
            <w:tcW w:type="dxa" w:w="1728"/>
            <w:shd w:fill="D9D9D9"/>
          </w:tcPr>
          <w:p>
            <w:r>
              <w:t>PD_mean</w:t>
            </w:r>
          </w:p>
        </w:tc>
      </w:tr>
      <w:tr>
        <w:tc>
          <w:tcPr>
            <w:tcW w:type="dxa" w:w="1728"/>
          </w:tcPr>
          <w:p>
            <w:r>
              <w:t>Cluster 1</w:t>
            </w:r>
          </w:p>
        </w:tc>
        <w:tc>
          <w:tcPr>
            <w:tcW w:type="dxa" w:w="1728"/>
          </w:tcPr>
          <w:p>
            <w:r>
              <w:t>3.67</w:t>
            </w:r>
          </w:p>
        </w:tc>
        <w:tc>
          <w:tcPr>
            <w:tcW w:type="dxa" w:w="1728"/>
          </w:tcPr>
          <w:p>
            <w:r>
              <w:t>3.79</w:t>
            </w:r>
          </w:p>
        </w:tc>
        <w:tc>
          <w:tcPr>
            <w:tcW w:type="dxa" w:w="1728"/>
          </w:tcPr>
          <w:p>
            <w:r>
              <w:t>3.86</w:t>
            </w:r>
          </w:p>
        </w:tc>
        <w:tc>
          <w:tcPr>
            <w:tcW w:type="dxa" w:w="1728"/>
          </w:tcPr>
          <w:p>
            <w:r>
              <w:t>2.93</w:t>
            </w:r>
          </w:p>
        </w:tc>
      </w:tr>
      <w:tr>
        <w:tc>
          <w:tcPr>
            <w:tcW w:type="dxa" w:w="1728"/>
          </w:tcPr>
          <w:p>
            <w:r>
              <w:t>Cluster 2</w:t>
            </w:r>
          </w:p>
        </w:tc>
        <w:tc>
          <w:tcPr>
            <w:tcW w:type="dxa" w:w="1728"/>
          </w:tcPr>
          <w:p>
            <w:r>
              <w:t>2.67</w:t>
            </w:r>
          </w:p>
        </w:tc>
        <w:tc>
          <w:tcPr>
            <w:tcW w:type="dxa" w:w="1728"/>
          </w:tcPr>
          <w:p>
            <w:r>
              <w:t>3.46</w:t>
            </w:r>
          </w:p>
        </w:tc>
        <w:tc>
          <w:tcPr>
            <w:tcW w:type="dxa" w:w="1728"/>
          </w:tcPr>
          <w:p>
            <w:r>
              <w:t>3.16</w:t>
            </w:r>
          </w:p>
        </w:tc>
        <w:tc>
          <w:tcPr>
            <w:tcW w:type="dxa" w:w="1728"/>
          </w:tcPr>
          <w:p>
            <w:r>
              <w:t>2.35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5029200" cy="35157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luster_boxplot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5157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Figure 1. Comparison of empathy subscale distributions across identified clusters.</w:t>
      </w:r>
    </w:p>
    <w:p>
      <w:pPr>
        <w:pStyle w:val="Heading1"/>
      </w:pPr>
      <w:r>
        <w:t>Step 5. Model evaluation and robustness</w:t>
      </w:r>
    </w:p>
    <w:p>
      <w:r>
        <w:t>Each method passed its own validity criteria: SEM showed acceptable structure; fsQCA yielded high consistency configurations; and Clustering provided stable, interpretable profiles. Rather than seeking perfect convergence, MAP-8 evaluates whether results are mutually informative.</w:t>
      </w:r>
    </w:p>
    <w:p>
      <w:pPr>
        <w:pStyle w:val="Heading1"/>
      </w:pPr>
      <w:r>
        <w:t>Step 6. Triangulated interpretation (core MAP-8 contribution)</w:t>
      </w:r>
    </w:p>
    <w:p>
      <w:r>
        <w:t>Triangulation reveals a coherent narrative. SEM confirms empathy is multidimensional; fsQCA shows that different combinations of these dimensions produce high empathy; and Clustering translates these patterns into population-level profiles.</w:t>
      </w:r>
    </w:p>
    <w:p>
      <w:pPr>
        <w:pStyle w:val="Heading1"/>
      </w:pPr>
      <w:r>
        <w:t>Step 7. Reporting and substantive implications</w:t>
      </w:r>
    </w:p>
    <w:p>
      <w:r>
        <w:t>Results suggest that high empathy is not a single trait but a configurational achievement. Personal distress is not inherently maladaptive; its effect depends on cognitive regulation. Empathy research benefits from integrated analytical frameworks.</w:t>
      </w:r>
    </w:p>
    <w:p>
      <w:pPr>
        <w:pStyle w:val="Heading1"/>
      </w:pPr>
      <w:r>
        <w:t>Step 8. Validation, replication, and future extensions</w:t>
      </w:r>
    </w:p>
    <w:p>
      <w:r>
        <w:t>The MAP-8 roadmap supports replication by design. Future work may test measurement invariance across cohorts (2023-2025) or introduce behavioral outcomes as targets.</w:t>
      </w:r>
    </w:p>
    <w:p/>
    <w:p>
      <w:r>
        <w:rPr>
          <w:b/>
        </w:rPr>
        <w:t>Summary: Using MAP-8, the IRI case study demonstrates that empathy emerges from multiple, complementary causal logics, which can only be fully understood when SEM, fsQCA, and clustering are interpreted jointly.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