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9615" w14:textId="77777777" w:rsidR="008E28CD" w:rsidRPr="004248F3" w:rsidRDefault="00000000">
      <w:pPr>
        <w:pStyle w:val="Ttulo"/>
        <w:rPr>
          <w:rFonts w:cstheme="majorHAnsi"/>
        </w:rPr>
      </w:pPr>
      <w:r w:rsidRPr="004248F3">
        <w:rPr>
          <w:rFonts w:cstheme="majorHAnsi"/>
        </w:rPr>
        <w:t>Green Integration by Contradiction: EU Trade Policy and Latin America</w:t>
      </w:r>
    </w:p>
    <w:p w14:paraId="04EE5875" w14:textId="77777777" w:rsidR="008E28CD" w:rsidRPr="004248F3" w:rsidRDefault="00000000">
      <w:pPr>
        <w:pStyle w:val="Ttulo1"/>
        <w:rPr>
          <w:rFonts w:cstheme="majorHAnsi"/>
        </w:rPr>
      </w:pPr>
      <w:r w:rsidRPr="004248F3">
        <w:rPr>
          <w:rFonts w:cstheme="majorHAnsi"/>
        </w:rPr>
        <w:t>Abstract</w:t>
      </w:r>
    </w:p>
    <w:p w14:paraId="46C43627" w14:textId="77777777" w:rsidR="008E28CD" w:rsidRPr="004248F3" w:rsidRDefault="00000000">
      <w:pPr>
        <w:rPr>
          <w:rFonts w:asciiTheme="majorHAnsi" w:hAnsiTheme="majorHAnsi" w:cstheme="majorHAnsi"/>
        </w:rPr>
      </w:pPr>
      <w:r w:rsidRPr="004248F3">
        <w:rPr>
          <w:rFonts w:asciiTheme="majorHAnsi" w:hAnsiTheme="majorHAnsi" w:cstheme="majorHAnsi"/>
        </w:rPr>
        <w:t>This chapter examines how the European Union uses trade policy to extend sustainability rules beyond its territory. It compares the EU-Colombia/Ecuador/Peru Trade Agreement with the EU-Mercosur agreements through a qualitative analysis of treaty provisions, implementation records, evaluation documents and sectoral political economy. The two cases share the EU's broad Trade and Sustainable Development model but differ markedly in political trajectory. The Andean agreement has been absorbed into committee work, reporting and ex post evaluation. EU-Mercosur became a dispute over agriculture, deforestation and the credibility of the European Green Deal, even after the December 2024 political agreement and the provisional application of the interim Trade Agreement from 1 May 2026.</w:t>
      </w:r>
    </w:p>
    <w:p w14:paraId="705E521A"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chapter argues that greener treaty language does not necessarily produce greater ecological transformation. Sustainability provisions may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cooperation and public scrutiny, yet they can also </w:t>
      </w:r>
      <w:proofErr w:type="spellStart"/>
      <w:r w:rsidRPr="004248F3">
        <w:rPr>
          <w:rFonts w:asciiTheme="majorHAnsi" w:hAnsiTheme="majorHAnsi" w:cstheme="majorHAnsi"/>
        </w:rPr>
        <w:t>legitimise</w:t>
      </w:r>
      <w:proofErr w:type="spellEnd"/>
      <w:r w:rsidRPr="004248F3">
        <w:rPr>
          <w:rFonts w:asciiTheme="majorHAnsi" w:hAnsiTheme="majorHAnsi" w:cstheme="majorHAnsi"/>
        </w:rPr>
        <w:t xml:space="preserve"> market opening while leaving enforcement, finance and adjustment costs unresolved. The EU Deforestation Regulation provides a harder form of market-based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but its amended timetable and demanding information requirements expose similar problems of capacity and distribution. The comparison identifies a fragmented regime in which negotiated agreements, autonomous regulation and evaluation procedures work on different timelines and allocate responsibility unevenly. Green integration is therefore contradictory: the EU can project regulatory demands more readily than it can create the material conditions for fair compliance. The resulting conflict concerns authority as much as environmental </w:t>
      </w:r>
      <w:proofErr w:type="gramStart"/>
      <w:r w:rsidRPr="004248F3">
        <w:rPr>
          <w:rFonts w:asciiTheme="majorHAnsi" w:hAnsiTheme="majorHAnsi" w:cstheme="majorHAnsi"/>
        </w:rPr>
        <w:t>ambition, and</w:t>
      </w:r>
      <w:proofErr w:type="gramEnd"/>
      <w:r w:rsidRPr="004248F3">
        <w:rPr>
          <w:rFonts w:asciiTheme="majorHAnsi" w:hAnsiTheme="majorHAnsi" w:cstheme="majorHAnsi"/>
        </w:rPr>
        <w:t xml:space="preserve"> turns on who pays for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in global value chains.</w:t>
      </w:r>
    </w:p>
    <w:p w14:paraId="6D80AAC6" w14:textId="77777777" w:rsidR="008E28CD" w:rsidRPr="004248F3" w:rsidRDefault="00000000">
      <w:pPr>
        <w:pStyle w:val="Ttulo1"/>
        <w:rPr>
          <w:rFonts w:cstheme="majorHAnsi"/>
        </w:rPr>
      </w:pPr>
      <w:r w:rsidRPr="004248F3">
        <w:rPr>
          <w:rFonts w:cstheme="majorHAnsi"/>
        </w:rPr>
        <w:t>Keywords</w:t>
      </w:r>
    </w:p>
    <w:p w14:paraId="7C246D87"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European integration; trade policy; EU-Mercosur; EU-Andean agreement; sustainability governance; deforestation; Green Deal;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EU Deforestation Regulation; environmental justice; global value chains</w:t>
      </w:r>
    </w:p>
    <w:p w14:paraId="1C8AE123" w14:textId="77777777" w:rsidR="008E28CD" w:rsidRPr="004248F3" w:rsidRDefault="00000000">
      <w:pPr>
        <w:rPr>
          <w:rFonts w:asciiTheme="majorHAnsi" w:hAnsiTheme="majorHAnsi" w:cstheme="majorHAnsi"/>
        </w:rPr>
      </w:pPr>
      <w:r w:rsidRPr="004248F3">
        <w:rPr>
          <w:rFonts w:asciiTheme="majorHAnsi" w:hAnsiTheme="majorHAnsi" w:cstheme="majorHAnsi"/>
        </w:rPr>
        <w:br w:type="page"/>
      </w:r>
    </w:p>
    <w:p w14:paraId="16EBB064" w14:textId="77777777" w:rsidR="008E28CD" w:rsidRPr="004248F3" w:rsidRDefault="00000000" w:rsidP="00674F9D">
      <w:pPr>
        <w:pStyle w:val="Ttulo1"/>
        <w:rPr>
          <w:rFonts w:cstheme="majorHAnsi"/>
        </w:rPr>
      </w:pPr>
      <w:r w:rsidRPr="004248F3">
        <w:rPr>
          <w:rFonts w:cstheme="majorHAnsi"/>
        </w:rPr>
        <w:lastRenderedPageBreak/>
        <w:t>Introduction</w:t>
      </w:r>
    </w:p>
    <w:p w14:paraId="6ADABA67" w14:textId="77777777" w:rsidR="008E28CD" w:rsidRPr="004248F3" w:rsidRDefault="00000000">
      <w:pPr>
        <w:rPr>
          <w:rFonts w:asciiTheme="majorHAnsi" w:hAnsiTheme="majorHAnsi" w:cstheme="majorHAnsi"/>
        </w:rPr>
      </w:pPr>
      <w:r w:rsidRPr="004248F3">
        <w:rPr>
          <w:rFonts w:asciiTheme="majorHAnsi" w:hAnsiTheme="majorHAnsi" w:cstheme="majorHAnsi"/>
        </w:rPr>
        <w:t>European integration is often narrated as an internal project</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Schimmelfennig</w:t>
      </w:r>
      <w:proofErr w:type="spellEnd"/>
      <w:r w:rsidR="00674F9D" w:rsidRPr="004248F3">
        <w:rPr>
          <w:rFonts w:asciiTheme="majorHAnsi" w:hAnsiTheme="majorHAnsi" w:cstheme="majorHAnsi"/>
        </w:rPr>
        <w:t>, 2021)</w:t>
      </w:r>
      <w:r w:rsidRPr="004248F3">
        <w:rPr>
          <w:rFonts w:asciiTheme="majorHAnsi" w:hAnsiTheme="majorHAnsi" w:cstheme="majorHAnsi"/>
        </w:rPr>
        <w:t>. The canonical story concerns the gradual pooling of sovereignty, the creation of common institutions and the consolidation of a market in which rules circulate across borders</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Lavenex</w:t>
      </w:r>
      <w:proofErr w:type="spellEnd"/>
      <w:r w:rsidR="00674F9D" w:rsidRPr="004248F3">
        <w:rPr>
          <w:rFonts w:asciiTheme="majorHAnsi" w:hAnsiTheme="majorHAnsi" w:cstheme="majorHAnsi"/>
        </w:rPr>
        <w:t>, 2004)</w:t>
      </w:r>
      <w:r w:rsidRPr="004248F3">
        <w:rPr>
          <w:rFonts w:asciiTheme="majorHAnsi" w:hAnsiTheme="majorHAnsi" w:cstheme="majorHAnsi"/>
        </w:rPr>
        <w:t>. That story remains indispensable, but it is no longer sufficient for understanding how the European Union presents itself and governs in a world of interdependent production</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Lavenex</w:t>
      </w:r>
      <w:proofErr w:type="spellEnd"/>
      <w:r w:rsidR="00674F9D" w:rsidRPr="004248F3">
        <w:rPr>
          <w:rFonts w:asciiTheme="majorHAnsi" w:hAnsiTheme="majorHAnsi" w:cstheme="majorHAnsi"/>
        </w:rPr>
        <w:t>, 2004; von der Leyen et al., 2020)</w:t>
      </w:r>
      <w:r w:rsidRPr="004248F3">
        <w:rPr>
          <w:rFonts w:asciiTheme="majorHAnsi" w:hAnsiTheme="majorHAnsi" w:cstheme="majorHAnsi"/>
        </w:rPr>
        <w:t>. The Union increasingly integrates external relations into its internal regulatory project</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Lavenex</w:t>
      </w:r>
      <w:proofErr w:type="spellEnd"/>
      <w:r w:rsidR="00674F9D" w:rsidRPr="004248F3">
        <w:rPr>
          <w:rFonts w:asciiTheme="majorHAnsi" w:hAnsiTheme="majorHAnsi" w:cstheme="majorHAnsi"/>
        </w:rPr>
        <w:t xml:space="preserve"> &amp; </w:t>
      </w:r>
      <w:proofErr w:type="spellStart"/>
      <w:r w:rsidR="00674F9D" w:rsidRPr="004248F3">
        <w:rPr>
          <w:rFonts w:asciiTheme="majorHAnsi" w:hAnsiTheme="majorHAnsi" w:cstheme="majorHAnsi"/>
        </w:rPr>
        <w:t>Schimmelfennig</w:t>
      </w:r>
      <w:proofErr w:type="spellEnd"/>
      <w:r w:rsidR="00674F9D" w:rsidRPr="004248F3">
        <w:rPr>
          <w:rFonts w:asciiTheme="majorHAnsi" w:hAnsiTheme="majorHAnsi" w:cstheme="majorHAnsi"/>
        </w:rPr>
        <w:t>, 2009)</w:t>
      </w:r>
      <w:r w:rsidRPr="004248F3">
        <w:rPr>
          <w:rFonts w:asciiTheme="majorHAnsi" w:hAnsiTheme="majorHAnsi" w:cstheme="majorHAnsi"/>
        </w:rPr>
        <w:t xml:space="preserve">. Market access, due diligence,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standards, climate commitments and environmental reporting now form part of the practical infrastructure through which European rules reach firms, governments and producers beyond the Union</w:t>
      </w:r>
      <w:r w:rsidR="003D3155" w:rsidRPr="004248F3">
        <w:rPr>
          <w:rFonts w:asciiTheme="majorHAnsi" w:hAnsiTheme="majorHAnsi" w:cstheme="majorHAnsi"/>
        </w:rPr>
        <w:t xml:space="preserve"> (</w:t>
      </w:r>
      <w:proofErr w:type="spellStart"/>
      <w:r w:rsidR="003D3155" w:rsidRPr="004248F3">
        <w:rPr>
          <w:rFonts w:asciiTheme="majorHAnsi" w:hAnsiTheme="majorHAnsi" w:cstheme="majorHAnsi"/>
        </w:rPr>
        <w:t>Akdogan</w:t>
      </w:r>
      <w:proofErr w:type="spellEnd"/>
      <w:r w:rsidR="003D3155" w:rsidRPr="004248F3">
        <w:rPr>
          <w:rFonts w:asciiTheme="majorHAnsi" w:hAnsiTheme="majorHAnsi" w:cstheme="majorHAnsi"/>
        </w:rPr>
        <w:t>, 2025; Bradford, 2012; Marín Durán, 2020; Regulation EU 2023/1115)</w:t>
      </w:r>
      <w:r w:rsidRPr="004248F3">
        <w:rPr>
          <w:rFonts w:asciiTheme="majorHAnsi" w:hAnsiTheme="majorHAnsi" w:cstheme="majorHAnsi"/>
        </w:rPr>
        <w:t>. Trade agreements are among the most visible sites of this outward movement</w:t>
      </w:r>
      <w:r w:rsidR="003D3155" w:rsidRPr="004248F3">
        <w:rPr>
          <w:rFonts w:asciiTheme="majorHAnsi" w:hAnsiTheme="majorHAnsi" w:cstheme="majorHAnsi"/>
        </w:rPr>
        <w:t xml:space="preserve"> (</w:t>
      </w:r>
      <w:proofErr w:type="spellStart"/>
      <w:r w:rsidR="003D3155" w:rsidRPr="004248F3">
        <w:rPr>
          <w:rFonts w:asciiTheme="majorHAnsi" w:hAnsiTheme="majorHAnsi" w:cstheme="majorHAnsi"/>
        </w:rPr>
        <w:t>Damro</w:t>
      </w:r>
      <w:proofErr w:type="spellEnd"/>
      <w:r w:rsidR="003D3155" w:rsidRPr="004248F3">
        <w:rPr>
          <w:rFonts w:asciiTheme="majorHAnsi" w:hAnsiTheme="majorHAnsi" w:cstheme="majorHAnsi"/>
        </w:rPr>
        <w:t>, 2015; IRIS, 2020)</w:t>
      </w:r>
      <w:r w:rsidRPr="004248F3">
        <w:rPr>
          <w:rFonts w:asciiTheme="majorHAnsi" w:hAnsiTheme="majorHAnsi" w:cstheme="majorHAnsi"/>
        </w:rPr>
        <w:t>.</w:t>
      </w:r>
    </w:p>
    <w:p w14:paraId="642DE598" w14:textId="77777777" w:rsidR="00A23A08" w:rsidRPr="004248F3" w:rsidRDefault="00A23A08">
      <w:pPr>
        <w:rPr>
          <w:rFonts w:asciiTheme="majorHAnsi" w:hAnsiTheme="majorHAnsi" w:cstheme="majorHAnsi"/>
        </w:rPr>
      </w:pPr>
      <w:r w:rsidRPr="004248F3">
        <w:rPr>
          <w:rFonts w:asciiTheme="majorHAnsi" w:hAnsiTheme="majorHAnsi" w:cstheme="majorHAnsi"/>
        </w:rPr>
        <w:t xml:space="preserve">This chapter examines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through a controlled comparison of the EU’s agreements with the Andean countries and Mercosur. The EU-Andean agreement, applied with Colombia and Peru since 2013 and Ecuador since 2017, represents a relatively routinised process of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in which sustainability commitments have been incorporated into reporting mechanisms, committee practices and ex post evaluation (European Commission 2023). By contrast, the EU-Mercosur </w:t>
      </w:r>
      <w:proofErr w:type="gramStart"/>
      <w:r w:rsidRPr="004248F3">
        <w:rPr>
          <w:rFonts w:asciiTheme="majorHAnsi" w:hAnsiTheme="majorHAnsi" w:cstheme="majorHAnsi"/>
        </w:rPr>
        <w:t>agreement—</w:t>
      </w:r>
      <w:proofErr w:type="gramEnd"/>
      <w:r w:rsidRPr="004248F3">
        <w:rPr>
          <w:rFonts w:asciiTheme="majorHAnsi" w:hAnsiTheme="majorHAnsi" w:cstheme="majorHAnsi"/>
        </w:rPr>
        <w:t xml:space="preserve">whose trade negotiations concluded in 2019, political agreement was announced on 6 December 2024 and interim trade instrument entered provisional application on 1 May 2026—has generated intense contestation concerning agriculture, deforestation, sovereignty and the credibility of EU climate leadership (European Commission 2026a). Both agreements form part of a broader and differentiated EU–Latin American trade policy space rather than a single regional framework (Grieger 2023), and both belong to the EU’s new generation of comprehensive trade arrangements, combining market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xml:space="preserve"> with dedicated Trade and Sustainable Development chapters and commitments relating to environmental protection,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rights and international obligations. The comparison is therefore not between a sustainable and an unsustainable agreement, but between two distinct translations of a common European sustainability repertoire into institutional practice under different political-economic conditions and levels of public contestation.</w:t>
      </w:r>
    </w:p>
    <w:p w14:paraId="4FCDF2E0" w14:textId="77777777" w:rsidR="008E28CD" w:rsidRPr="004248F3" w:rsidRDefault="00000000">
      <w:pPr>
        <w:rPr>
          <w:rFonts w:asciiTheme="majorHAnsi" w:hAnsiTheme="majorHAnsi" w:cstheme="majorHAnsi"/>
        </w:rPr>
      </w:pPr>
      <w:r w:rsidRPr="004248F3">
        <w:rPr>
          <w:rFonts w:asciiTheme="majorHAnsi" w:hAnsiTheme="majorHAnsi" w:cstheme="majorHAnsi"/>
        </w:rPr>
        <w:t>The central argument is deliberately counterintuitive. The greening of treaty language does not automatically increase the capacity of an agreement to transform extractive export models</w:t>
      </w:r>
      <w:r w:rsidR="00DA147D" w:rsidRPr="004248F3">
        <w:rPr>
          <w:rFonts w:asciiTheme="majorHAnsi" w:hAnsiTheme="majorHAnsi" w:cstheme="majorHAnsi"/>
        </w:rPr>
        <w:t xml:space="preserve"> (</w:t>
      </w:r>
      <w:proofErr w:type="spellStart"/>
      <w:r w:rsidR="00DA147D" w:rsidRPr="004248F3">
        <w:rPr>
          <w:rFonts w:asciiTheme="majorHAnsi" w:hAnsiTheme="majorHAnsi" w:cstheme="majorHAnsi"/>
        </w:rPr>
        <w:t>Akdogan</w:t>
      </w:r>
      <w:proofErr w:type="spellEnd"/>
      <w:r w:rsidR="00DA147D" w:rsidRPr="004248F3">
        <w:rPr>
          <w:rFonts w:asciiTheme="majorHAnsi" w:hAnsiTheme="majorHAnsi" w:cstheme="majorHAnsi"/>
        </w:rPr>
        <w:t>, 2025; Marín Durán, 2020)</w:t>
      </w:r>
      <w:r w:rsidRPr="004248F3">
        <w:rPr>
          <w:rFonts w:asciiTheme="majorHAnsi" w:hAnsiTheme="majorHAnsi" w:cstheme="majorHAnsi"/>
        </w:rPr>
        <w:t>. A greener text can coexist with weak enforcement, fragmented implementation and continued pressure to secure market access</w:t>
      </w:r>
      <w:r w:rsidR="00DA147D" w:rsidRPr="004248F3">
        <w:rPr>
          <w:rFonts w:asciiTheme="majorHAnsi" w:hAnsiTheme="majorHAnsi" w:cstheme="majorHAnsi"/>
        </w:rPr>
        <w:t xml:space="preserve"> (Olech et al., 2025; </w:t>
      </w:r>
      <w:proofErr w:type="spellStart"/>
      <w:r w:rsidR="00DA147D" w:rsidRPr="004248F3">
        <w:rPr>
          <w:rFonts w:asciiTheme="majorHAnsi" w:hAnsiTheme="majorHAnsi" w:cstheme="majorHAnsi"/>
        </w:rPr>
        <w:t>Remondino</w:t>
      </w:r>
      <w:proofErr w:type="spellEnd"/>
      <w:r w:rsidR="00DA147D" w:rsidRPr="004248F3">
        <w:rPr>
          <w:rFonts w:asciiTheme="majorHAnsi" w:hAnsiTheme="majorHAnsi" w:cstheme="majorHAnsi"/>
        </w:rPr>
        <w:t>, 2023)</w:t>
      </w:r>
      <w:r w:rsidRPr="004248F3">
        <w:rPr>
          <w:rFonts w:asciiTheme="majorHAnsi" w:hAnsiTheme="majorHAnsi" w:cstheme="majorHAnsi"/>
        </w:rPr>
        <w:t>. In some circumstances, sustainability language operates primarily as a legitimacy device: it helps an agreement appear compatible with European values and contemporary climate politics while leaving the distribution of adjustment costs unresolved</w:t>
      </w:r>
      <w:r w:rsidR="00DA147D" w:rsidRPr="004248F3">
        <w:rPr>
          <w:rFonts w:asciiTheme="majorHAnsi" w:hAnsiTheme="majorHAnsi" w:cstheme="majorHAnsi"/>
        </w:rPr>
        <w:t xml:space="preserve"> (Garcia &amp; Gomez Arana, 2025; </w:t>
      </w:r>
      <w:proofErr w:type="spellStart"/>
      <w:r w:rsidR="00DA147D" w:rsidRPr="004248F3">
        <w:rPr>
          <w:rFonts w:asciiTheme="majorHAnsi" w:hAnsiTheme="majorHAnsi" w:cstheme="majorHAnsi"/>
        </w:rPr>
        <w:t>Judijanto</w:t>
      </w:r>
      <w:proofErr w:type="spellEnd"/>
      <w:r w:rsidR="00DA147D" w:rsidRPr="004248F3">
        <w:rPr>
          <w:rFonts w:asciiTheme="majorHAnsi" w:hAnsiTheme="majorHAnsi" w:cstheme="majorHAnsi"/>
        </w:rPr>
        <w:t>, 2025; Marín Durán, 2020)</w:t>
      </w:r>
      <w:r w:rsidRPr="004248F3">
        <w:rPr>
          <w:rFonts w:asciiTheme="majorHAnsi" w:hAnsiTheme="majorHAnsi" w:cstheme="majorHAnsi"/>
        </w:rPr>
        <w:t>. In other circumstances, it provides a platform for cooperation, monitoring and political learning</w:t>
      </w:r>
      <w:r w:rsidR="00DA147D" w:rsidRPr="004248F3">
        <w:rPr>
          <w:rFonts w:asciiTheme="majorHAnsi" w:hAnsiTheme="majorHAnsi" w:cstheme="majorHAnsi"/>
        </w:rPr>
        <w:t xml:space="preserve"> (Garcia &amp; Gomez Arana, 2025)</w:t>
      </w:r>
      <w:r w:rsidRPr="004248F3">
        <w:rPr>
          <w:rFonts w:asciiTheme="majorHAnsi" w:hAnsiTheme="majorHAnsi" w:cstheme="majorHAnsi"/>
        </w:rPr>
        <w:t xml:space="preserve">. </w:t>
      </w:r>
      <w:r w:rsidR="00DA147D" w:rsidRPr="004248F3">
        <w:rPr>
          <w:rFonts w:asciiTheme="majorHAnsi" w:hAnsiTheme="majorHAnsi" w:cstheme="majorHAnsi"/>
        </w:rPr>
        <w:t xml:space="preserve">The difference cannot be </w:t>
      </w:r>
      <w:proofErr w:type="gramStart"/>
      <w:r w:rsidR="00DA147D" w:rsidRPr="004248F3">
        <w:rPr>
          <w:rFonts w:asciiTheme="majorHAnsi" w:hAnsiTheme="majorHAnsi" w:cstheme="majorHAnsi"/>
        </w:rPr>
        <w:t>read</w:t>
      </w:r>
      <w:proofErr w:type="gramEnd"/>
      <w:r w:rsidR="00DA147D" w:rsidRPr="004248F3">
        <w:rPr>
          <w:rFonts w:asciiTheme="majorHAnsi" w:hAnsiTheme="majorHAnsi" w:cstheme="majorHAnsi"/>
        </w:rPr>
        <w:t xml:space="preserve"> from the presence of a sustainability chapter alone, because the similarity between agreement texts with different policies is about 80%. (Cesar de Oliveira et al., 2024)</w:t>
      </w:r>
      <w:r w:rsidRPr="004248F3">
        <w:rPr>
          <w:rFonts w:asciiTheme="majorHAnsi" w:hAnsiTheme="majorHAnsi" w:cstheme="majorHAnsi"/>
        </w:rPr>
        <w:t>.</w:t>
      </w:r>
    </w:p>
    <w:p w14:paraId="2AEB627A" w14:textId="77777777" w:rsidR="008E28CD" w:rsidRPr="004248F3" w:rsidRDefault="00A23A08">
      <w:pPr>
        <w:rPr>
          <w:rFonts w:asciiTheme="majorHAnsi" w:hAnsiTheme="majorHAnsi" w:cstheme="majorHAnsi"/>
        </w:rPr>
      </w:pPr>
      <w:r w:rsidRPr="004248F3">
        <w:rPr>
          <w:rFonts w:asciiTheme="majorHAnsi" w:hAnsiTheme="majorHAnsi" w:cstheme="majorHAnsi"/>
        </w:rPr>
        <w:t xml:space="preserve">The argument </w:t>
      </w:r>
      <w:proofErr w:type="spellStart"/>
      <w:r w:rsidRPr="004248F3">
        <w:rPr>
          <w:rFonts w:asciiTheme="majorHAnsi" w:hAnsiTheme="majorHAnsi" w:cstheme="majorHAnsi"/>
        </w:rPr>
        <w:t>conceptualises</w:t>
      </w:r>
      <w:proofErr w:type="spellEnd"/>
      <w:r w:rsidRPr="004248F3">
        <w:rPr>
          <w:rFonts w:asciiTheme="majorHAnsi" w:hAnsiTheme="majorHAnsi" w:cstheme="majorHAnsi"/>
        </w:rPr>
        <w:t xml:space="preserve"> EU trade policy as a form of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whereby selected European rules and regulatory categories shape production systems beyond the Union’s political institutions. Market Power Europe and the Brussels Effect explain how access to a large, highly regulated </w:t>
      </w:r>
      <w:r w:rsidRPr="004248F3">
        <w:rPr>
          <w:rFonts w:asciiTheme="majorHAnsi" w:hAnsiTheme="majorHAnsi" w:cstheme="majorHAnsi"/>
        </w:rPr>
        <w:lastRenderedPageBreak/>
        <w:t>market can influence firms and states elsewhere, although such influence does not guarantee uniform implementation (</w:t>
      </w:r>
      <w:proofErr w:type="spellStart"/>
      <w:r w:rsidRPr="004248F3">
        <w:rPr>
          <w:rFonts w:asciiTheme="majorHAnsi" w:hAnsiTheme="majorHAnsi" w:cstheme="majorHAnsi"/>
        </w:rPr>
        <w:t>Damro</w:t>
      </w:r>
      <w:proofErr w:type="spellEnd"/>
      <w:r w:rsidRPr="004248F3">
        <w:rPr>
          <w:rFonts w:asciiTheme="majorHAnsi" w:hAnsiTheme="majorHAnsi" w:cstheme="majorHAnsi"/>
        </w:rPr>
        <w:t xml:space="preserve"> 2015; Bradford 2020). This process remains asymmetric because the EU can condition market access on compliance without providing the finance, data or administrative capacity required to meet its standards, and it is also fragmented because the Andean agreement, the Mercosur agreements, the European Green Deal and the EU Deforestation Regulation operate through different timelines, institutions and enforcement logics. To develop this argument, the analysis first connects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to the literature on normative power and external governance, then examines the Andean agreement as a comparatively </w:t>
      </w:r>
      <w:proofErr w:type="spellStart"/>
      <w:r w:rsidRPr="004248F3">
        <w:rPr>
          <w:rFonts w:asciiTheme="majorHAnsi" w:hAnsiTheme="majorHAnsi" w:cstheme="majorHAnsi"/>
        </w:rPr>
        <w:t>depoliticised</w:t>
      </w:r>
      <w:proofErr w:type="spellEnd"/>
      <w:r w:rsidRPr="004248F3">
        <w:rPr>
          <w:rFonts w:asciiTheme="majorHAnsi" w:hAnsiTheme="majorHAnsi" w:cstheme="majorHAnsi"/>
        </w:rPr>
        <w:t xml:space="preserve"> site of implementation, reconstructs the Mercosur trajectory through its sustainability provisions, agricultural political economy and deforestation conflicts, and finally compares the two cases while using the EUDR as parallel evidence of both the possibilities and limitations of European sustainability governance. The conclusion considers how the costs of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are distributed when the EU </w:t>
      </w:r>
      <w:proofErr w:type="gramStart"/>
      <w:r w:rsidRPr="004248F3">
        <w:rPr>
          <w:rFonts w:asciiTheme="majorHAnsi" w:hAnsiTheme="majorHAnsi" w:cstheme="majorHAnsi"/>
        </w:rPr>
        <w:t>seeks to</w:t>
      </w:r>
      <w:proofErr w:type="gramEnd"/>
      <w:r w:rsidRPr="004248F3">
        <w:rPr>
          <w:rFonts w:asciiTheme="majorHAnsi" w:hAnsiTheme="majorHAnsi" w:cstheme="majorHAnsi"/>
        </w:rPr>
        <w:t xml:space="preserve"> green trade without resolving the structural conflicts embedded in global value chains.</w:t>
      </w:r>
    </w:p>
    <w:p w14:paraId="232DB9C4" w14:textId="77777777" w:rsidR="008E28CD" w:rsidRPr="004248F3" w:rsidRDefault="00000000">
      <w:pPr>
        <w:pStyle w:val="Ttulo1"/>
        <w:rPr>
          <w:rFonts w:cstheme="majorHAnsi"/>
        </w:rPr>
      </w:pPr>
      <w:r w:rsidRPr="004248F3">
        <w:rPr>
          <w:rFonts w:cstheme="majorHAnsi"/>
        </w:rPr>
        <w:t xml:space="preserve">Conceptual framework: integration by </w:t>
      </w:r>
      <w:proofErr w:type="spellStart"/>
      <w:r w:rsidRPr="004248F3">
        <w:rPr>
          <w:rFonts w:cstheme="majorHAnsi"/>
        </w:rPr>
        <w:t>externalisation</w:t>
      </w:r>
      <w:proofErr w:type="spellEnd"/>
    </w:p>
    <w:p w14:paraId="2C3C46B5" w14:textId="77777777" w:rsidR="00144FA6" w:rsidRPr="004248F3" w:rsidRDefault="00000000" w:rsidP="00144FA6">
      <w:pPr>
        <w:rPr>
          <w:rFonts w:asciiTheme="majorHAnsi" w:hAnsiTheme="majorHAnsi" w:cstheme="majorHAnsi"/>
        </w:rPr>
      </w:pPr>
      <w:r w:rsidRPr="004248F3">
        <w:rPr>
          <w:rFonts w:asciiTheme="majorHAnsi" w:hAnsiTheme="majorHAnsi" w:cstheme="majorHAnsi"/>
        </w:rPr>
        <w:t xml:space="preserve">From internal market integration to external regulatory </w:t>
      </w:r>
      <w:proofErr w:type="spellStart"/>
      <w:r w:rsidRPr="004248F3">
        <w:rPr>
          <w:rFonts w:asciiTheme="majorHAnsi" w:hAnsiTheme="majorHAnsi" w:cstheme="majorHAnsi"/>
        </w:rPr>
        <w:t>reach</w:t>
      </w:r>
      <w:r w:rsidR="00144FA6" w:rsidRPr="004248F3">
        <w:rPr>
          <w:rFonts w:asciiTheme="majorHAnsi" w:hAnsiTheme="majorHAnsi" w:cstheme="majorHAnsi"/>
        </w:rPr>
        <w:t>Integration</w:t>
      </w:r>
      <w:proofErr w:type="spellEnd"/>
      <w:r w:rsidR="00144FA6" w:rsidRPr="004248F3">
        <w:rPr>
          <w:rFonts w:asciiTheme="majorHAnsi" w:hAnsiTheme="majorHAnsi" w:cstheme="majorHAnsi"/>
        </w:rPr>
        <w:t xml:space="preserve"> by </w:t>
      </w:r>
      <w:proofErr w:type="spellStart"/>
      <w:r w:rsidR="00144FA6" w:rsidRPr="004248F3">
        <w:rPr>
          <w:rFonts w:asciiTheme="majorHAnsi" w:hAnsiTheme="majorHAnsi" w:cstheme="majorHAnsi"/>
        </w:rPr>
        <w:t>externalisation</w:t>
      </w:r>
      <w:proofErr w:type="spellEnd"/>
      <w:r w:rsidR="00144FA6" w:rsidRPr="004248F3">
        <w:rPr>
          <w:rFonts w:asciiTheme="majorHAnsi" w:hAnsiTheme="majorHAnsi" w:cstheme="majorHAnsi"/>
        </w:rPr>
        <w:t xml:space="preserve"> begins from the proposition that the EU’s internal market cannot be separated from the external conditions under which goods, services and capital are produced. Environmental and social rules governing European consumers, firms and public authorities increasingly affect suppliers outside the Union. This differs from accession, association and conventional diplomacy because third-country actors are not incorporated into EU political institutions. Instead, access to the European market becomes a channel through which standards, procedures and legal categories travel beyond the Union’s territory.</w:t>
      </w:r>
    </w:p>
    <w:p w14:paraId="1F715191"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The concept draws on external governance. </w:t>
      </w:r>
      <w:proofErr w:type="spellStart"/>
      <w:r w:rsidRPr="004248F3">
        <w:rPr>
          <w:rFonts w:asciiTheme="majorHAnsi" w:hAnsiTheme="majorHAnsi" w:cstheme="majorHAnsi"/>
        </w:rPr>
        <w:t>Lavenex</w:t>
      </w:r>
      <w:proofErr w:type="spellEnd"/>
      <w:r w:rsidRPr="004248F3">
        <w:rPr>
          <w:rFonts w:asciiTheme="majorHAnsi" w:hAnsiTheme="majorHAnsi" w:cstheme="majorHAnsi"/>
        </w:rPr>
        <w:t xml:space="preserve"> and </w:t>
      </w:r>
      <w:proofErr w:type="spellStart"/>
      <w:r w:rsidRPr="004248F3">
        <w:rPr>
          <w:rFonts w:asciiTheme="majorHAnsi" w:hAnsiTheme="majorHAnsi" w:cstheme="majorHAnsi"/>
        </w:rPr>
        <w:t>Schimmelfennig</w:t>
      </w:r>
      <w:proofErr w:type="spellEnd"/>
      <w:r w:rsidRPr="004248F3">
        <w:rPr>
          <w:rFonts w:asciiTheme="majorHAnsi" w:hAnsiTheme="majorHAnsi" w:cstheme="majorHAnsi"/>
        </w:rPr>
        <w:t xml:space="preserve"> (2009) define this as the extension of EU rules and practices through legal obligations, market incentives, administrative cooperation, emulation and </w:t>
      </w:r>
      <w:proofErr w:type="spellStart"/>
      <w:r w:rsidRPr="004248F3">
        <w:rPr>
          <w:rFonts w:asciiTheme="majorHAnsi" w:hAnsiTheme="majorHAnsi" w:cstheme="majorHAnsi"/>
        </w:rPr>
        <w:t>socialisation</w:t>
      </w:r>
      <w:proofErr w:type="spellEnd"/>
      <w:r w:rsidRPr="004248F3">
        <w:rPr>
          <w:rFonts w:asciiTheme="majorHAnsi" w:hAnsiTheme="majorHAnsi" w:cstheme="majorHAnsi"/>
        </w:rPr>
        <w:t>. Trade policy links regulatory transmission to a material relationship. Partner countries and firms do not merely encounter European norms as abstract expectations; they face conditions connected to access, recognition, certification and continued commercial opportunities.</w:t>
      </w:r>
    </w:p>
    <w:p w14:paraId="5952E9E9"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EU categories such as due diligence, traceability, non-regression and compliance with international environmental commitments increasingly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external commercial conduct. They influence how transactions are documented and administered without extending participation in EU decision-making.</w:t>
      </w:r>
    </w:p>
    <w:p w14:paraId="5CE47F5C" w14:textId="77777777" w:rsidR="008E28CD" w:rsidRPr="004248F3" w:rsidRDefault="00144FA6" w:rsidP="00144FA6">
      <w:pPr>
        <w:rPr>
          <w:rFonts w:asciiTheme="majorHAnsi" w:hAnsiTheme="majorHAnsi" w:cstheme="majorHAnsi"/>
        </w:rPr>
      </w:pP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also unfolds over time. European rules are introduced and interpreted through negotiations, implementation committees, reporting cycles, domestic legislation, private certification and administrative guidance. Treaty language is therefore a starting point rather than a complete outcome. Garcia and Gomez Arana (2025) show that implementation committees translate broad sustainability commitments into agendas, priorities and requests for action, although these processes operate within substantial economic power asymmetries.</w:t>
      </w:r>
    </w:p>
    <w:p w14:paraId="44F6E5F5" w14:textId="77777777" w:rsidR="008E28CD" w:rsidRPr="004248F3" w:rsidRDefault="00000000">
      <w:pPr>
        <w:pStyle w:val="Ttulo2"/>
        <w:rPr>
          <w:rFonts w:cstheme="majorHAnsi"/>
        </w:rPr>
      </w:pPr>
      <w:r w:rsidRPr="004248F3">
        <w:rPr>
          <w:rFonts w:cstheme="majorHAnsi"/>
        </w:rPr>
        <w:t>Normative power and its limits</w:t>
      </w:r>
    </w:p>
    <w:p w14:paraId="4EE0B34E"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related to, but distinct from, normative power Europe. Manners (2002) </w:t>
      </w:r>
      <w:proofErr w:type="spellStart"/>
      <w:r w:rsidRPr="004248F3">
        <w:rPr>
          <w:rFonts w:asciiTheme="majorHAnsi" w:hAnsiTheme="majorHAnsi" w:cstheme="majorHAnsi"/>
        </w:rPr>
        <w:t>emphasises</w:t>
      </w:r>
      <w:proofErr w:type="spellEnd"/>
      <w:r w:rsidRPr="004248F3">
        <w:rPr>
          <w:rFonts w:asciiTheme="majorHAnsi" w:hAnsiTheme="majorHAnsi" w:cstheme="majorHAnsi"/>
        </w:rPr>
        <w:t xml:space="preserve"> the EU’s capacity to influence others through the diffusion of norms alongside material </w:t>
      </w:r>
      <w:r w:rsidRPr="004248F3">
        <w:rPr>
          <w:rFonts w:asciiTheme="majorHAnsi" w:hAnsiTheme="majorHAnsi" w:cstheme="majorHAnsi"/>
        </w:rPr>
        <w:lastRenderedPageBreak/>
        <w:t>capabilities. Human rights, democracy, the rule of law and sustainable development form part of this repertoire, while trade agreements connect these values to commercial incentives and institutional procedures.</w:t>
      </w:r>
    </w:p>
    <w:p w14:paraId="1D4BA63B"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Normative language, however, does not determine how norms operate. A rule may be universal in aspiration but asymmetric in effect. A due diligence requirement for products entering the European market may pursue a legitimate environmental objective while imposing costs on producers with unequal access to finance, data, mapping technologies, and public administration.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therefore distributional: it reallocates responsibility for documentation, monitoring, certification and risk across firms, states and supply chains.</w:t>
      </w:r>
    </w:p>
    <w:p w14:paraId="7A34F8AD"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t>Normative power must consequently be combined with a political economy of implementation. It identifies the values the EU claims to project but cannot establish whether resulting rules are enforceable, funded or ecologically effective. Claar’s (2022) critique of green colonialism is more a warning than a definitive judgement. Environmental measures may reproduce dependency when European priorities define the transition while producers and governments elsewhere bear disproportionate adjustment costs. The key question is what sustainability language does within relationships shaped by market access, geopolitical competition and unequal administrative capacity.</w:t>
      </w:r>
    </w:p>
    <w:p w14:paraId="5D34FD7B" w14:textId="77777777" w:rsidR="008E28CD" w:rsidRPr="004248F3" w:rsidRDefault="00000000">
      <w:pPr>
        <w:pStyle w:val="Ttulo2"/>
        <w:rPr>
          <w:rFonts w:cstheme="majorHAnsi"/>
          <w:color w:val="EE0000"/>
        </w:rPr>
      </w:pPr>
      <w:r w:rsidRPr="004248F3">
        <w:rPr>
          <w:rFonts w:cstheme="majorHAnsi"/>
          <w:color w:val="EE0000"/>
        </w:rPr>
        <w:t>Why sustainability chapters do not all bind in the same way</w:t>
      </w:r>
    </w:p>
    <w:p w14:paraId="54ED429B"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The EU’s Trade and Sustainable Development chapters are central to this problem. Marín Durán (2020, 1031–68) explains that they emerged as a distinctive European method for incorporating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and environmental concerns into new-generation free trade agreements. They combine substantive commitments with institutions for dialogue, monitoring and dispute examination. Historically, however, the model has </w:t>
      </w:r>
      <w:proofErr w:type="spellStart"/>
      <w:r w:rsidRPr="004248F3">
        <w:rPr>
          <w:rFonts w:asciiTheme="majorHAnsi" w:hAnsiTheme="majorHAnsi" w:cstheme="majorHAnsi"/>
        </w:rPr>
        <w:t>favoured</w:t>
      </w:r>
      <w:proofErr w:type="spellEnd"/>
      <w:r w:rsidRPr="004248F3">
        <w:rPr>
          <w:rFonts w:asciiTheme="majorHAnsi" w:hAnsiTheme="majorHAnsi" w:cstheme="majorHAnsi"/>
        </w:rPr>
        <w:t xml:space="preserve"> cooperation and recommendations over direct trade sanctions.</w:t>
      </w:r>
    </w:p>
    <w:p w14:paraId="2D2115DE"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This design has advantages and limitations. Dialogue can prevent disagreements from becoming zero-sum commercial disputes and create space for institutional learning. At the same time, it may be difficult to produce consequences when a party fails to implement a commitment. Requirements to maintain protection levels, enforce domestic law or implement international agreements do not automatically alter production. Their effects depend on legal clarity, monitoring capacity and political willingness to pursue non-compliance.</w:t>
      </w:r>
    </w:p>
    <w:p w14:paraId="6950AC27" w14:textId="77777777" w:rsidR="00144FA6" w:rsidRPr="004248F3" w:rsidRDefault="00144FA6" w:rsidP="00144FA6">
      <w:pPr>
        <w:rPr>
          <w:rFonts w:asciiTheme="majorHAnsi" w:hAnsiTheme="majorHAnsi" w:cstheme="majorHAnsi"/>
        </w:rPr>
      </w:pPr>
      <w:proofErr w:type="spellStart"/>
      <w:r w:rsidRPr="004248F3">
        <w:rPr>
          <w:rFonts w:asciiTheme="majorHAnsi" w:hAnsiTheme="majorHAnsi" w:cstheme="majorHAnsi"/>
        </w:rPr>
        <w:t>Akdogan</w:t>
      </w:r>
      <w:proofErr w:type="spellEnd"/>
      <w:r w:rsidRPr="004248F3">
        <w:rPr>
          <w:rFonts w:asciiTheme="majorHAnsi" w:hAnsiTheme="majorHAnsi" w:cstheme="majorHAnsi"/>
        </w:rPr>
        <w:t xml:space="preserve"> (2025) examines the requirements of TSD chapters regarding multilateral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and environmental standards. References to the Paris Agreement, the International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w:t>
      </w:r>
      <w:proofErr w:type="spellStart"/>
      <w:r w:rsidRPr="004248F3">
        <w:rPr>
          <w:rFonts w:asciiTheme="majorHAnsi" w:hAnsiTheme="majorHAnsi" w:cstheme="majorHAnsi"/>
        </w:rPr>
        <w:t>Organisation</w:t>
      </w:r>
      <w:proofErr w:type="spellEnd"/>
      <w:r w:rsidRPr="004248F3">
        <w:rPr>
          <w:rFonts w:asciiTheme="majorHAnsi" w:hAnsiTheme="majorHAnsi" w:cstheme="majorHAnsi"/>
        </w:rPr>
        <w:t xml:space="preserve"> or environmental conventions matter only when they create obligations that can be interpreted, implemented and assessed. Dense treaty language may appear strong without producing enforceable outcomes. Harrison and Paulini (2024) add a distributive critique in the Mercosur context: the EU model relies on sustainability impact assessments and TSD chapters while leaving socio-economic equality and environmental responsibility at the margins.</w:t>
      </w:r>
    </w:p>
    <w:p w14:paraId="56E95172"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The EU’s later shift towards stronger enforcement reflects dissatisfaction with the promotional model, including debate over sanctions and the relationship between TSD disputes and general trade remedies (</w:t>
      </w:r>
      <w:proofErr w:type="spellStart"/>
      <w:r w:rsidRPr="004248F3">
        <w:rPr>
          <w:rFonts w:asciiTheme="majorHAnsi" w:hAnsiTheme="majorHAnsi" w:cstheme="majorHAnsi"/>
        </w:rPr>
        <w:t>Remondino</w:t>
      </w:r>
      <w:proofErr w:type="spellEnd"/>
      <w:r w:rsidRPr="004248F3">
        <w:rPr>
          <w:rFonts w:asciiTheme="majorHAnsi" w:hAnsiTheme="majorHAnsi" w:cstheme="majorHAnsi"/>
        </w:rPr>
        <w:t xml:space="preserve"> 2023). More assertive enforcement, however, does not make every commitment equally binding. Wording, evidence and the institutional path from complaint to remedy still determine what enforcement can achieve.</w:t>
      </w:r>
    </w:p>
    <w:p w14:paraId="4FE6773A"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lastRenderedPageBreak/>
        <w:t xml:space="preserve">Legal inclusion must therefore be distinguished from practical effect. The Andean and Mercosur arrangements contain a related sustainability repertoire, but it performs different institutional work. In the Andean case, it supports committees, reporting and incremental learning. In Mercosur, similar language became an object of bargaining, external pressure and reputational conflict. Treaty provisions must therefore be </w:t>
      </w:r>
      <w:proofErr w:type="spellStart"/>
      <w:r w:rsidRPr="004248F3">
        <w:rPr>
          <w:rFonts w:asciiTheme="majorHAnsi" w:hAnsiTheme="majorHAnsi" w:cstheme="majorHAnsi"/>
        </w:rPr>
        <w:t>analysed</w:t>
      </w:r>
      <w:proofErr w:type="spellEnd"/>
      <w:r w:rsidRPr="004248F3">
        <w:rPr>
          <w:rFonts w:asciiTheme="majorHAnsi" w:hAnsiTheme="majorHAnsi" w:cstheme="majorHAnsi"/>
        </w:rPr>
        <w:t xml:space="preserve"> alongside implementation practices, evaluations and political disputes.</w:t>
      </w:r>
    </w:p>
    <w:p w14:paraId="5778CCBA" w14:textId="77777777" w:rsidR="008E28CD" w:rsidRPr="004248F3" w:rsidRDefault="00000000">
      <w:pPr>
        <w:pStyle w:val="Ttulo2"/>
        <w:rPr>
          <w:rFonts w:cstheme="majorHAnsi"/>
        </w:rPr>
      </w:pPr>
      <w:r w:rsidRPr="004248F3">
        <w:rPr>
          <w:rFonts w:cstheme="majorHAnsi"/>
        </w:rPr>
        <w:t>Legitimacy devices and geopolitical bargaining</w:t>
      </w:r>
    </w:p>
    <w:p w14:paraId="5052E18C"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Describing sustainability clauses as legitimacy devices does not imply that they are empty. They can affect policy even when they do not deliver the transformation their language suggests. Such clauses can reassure European publics that market opening is compatible with the Green Deal, provide a shared vocabulary for officials and firms, and make agreements more defensible in parliamentary and civil-society debate. They can also translate political conflict into technical questions of compliance, reporting and assistance.</w:t>
      </w:r>
    </w:p>
    <w:p w14:paraId="16A399DE"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Yet </w:t>
      </w:r>
      <w:proofErr w:type="spellStart"/>
      <w:r w:rsidRPr="004248F3">
        <w:rPr>
          <w:rFonts w:asciiTheme="majorHAnsi" w:hAnsiTheme="majorHAnsi" w:cstheme="majorHAnsi"/>
        </w:rPr>
        <w:t>legitimising</w:t>
      </w:r>
      <w:proofErr w:type="spellEnd"/>
      <w:r w:rsidRPr="004248F3">
        <w:rPr>
          <w:rFonts w:asciiTheme="majorHAnsi" w:hAnsiTheme="majorHAnsi" w:cstheme="majorHAnsi"/>
        </w:rPr>
        <w:t xml:space="preserve"> functions may conceal unresolved tensions. In the Mercosur case, the EU seeks deeper access to agricultural and industrial markets while maintaining environmental credibility. Partner governments seek market access, policy space and recognition that their development trajectories cannot be judged solely through European categories. A sustainability chapter can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these disagreements without resolving them, allowing parties to signal commitment while leaving gains and adjustment costs unsettled.</w:t>
      </w:r>
    </w:p>
    <w:p w14:paraId="1D52A39B"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t xml:space="preserve">Geopolitical bargaining must remain part of the analysis. Agreements become more valuable when the EU seeks a stronger presence in Latin America, diversified supply chains or evidence that open trade remains possible under pressure. Strategic value may also make governments reluctant to </w:t>
      </w:r>
      <w:proofErr w:type="spellStart"/>
      <w:r w:rsidRPr="004248F3">
        <w:rPr>
          <w:rFonts w:asciiTheme="majorHAnsi" w:hAnsiTheme="majorHAnsi" w:cstheme="majorHAnsi"/>
        </w:rPr>
        <w:t>jeopardise</w:t>
      </w:r>
      <w:proofErr w:type="spellEnd"/>
      <w:r w:rsidRPr="004248F3">
        <w:rPr>
          <w:rFonts w:asciiTheme="majorHAnsi" w:hAnsiTheme="majorHAnsi" w:cstheme="majorHAnsi"/>
        </w:rPr>
        <w:t xml:space="preserve"> closure by demanding more coercive environmental instruments. Albertoni and Schlegelmilch (2026) describe a Mercosur process in which the cost of failure changed although underlying conflicts persisted. The final text should therefore be understood as a negotiated compromise rather than a settled consensus.</w:t>
      </w:r>
    </w:p>
    <w:p w14:paraId="065B2F81" w14:textId="77777777" w:rsidR="008E28CD" w:rsidRPr="004248F3" w:rsidRDefault="00000000">
      <w:pPr>
        <w:pStyle w:val="Ttulo2"/>
        <w:rPr>
          <w:rFonts w:cstheme="majorHAnsi"/>
        </w:rPr>
      </w:pPr>
      <w:r w:rsidRPr="004248F3">
        <w:rPr>
          <w:rFonts w:cstheme="majorHAnsi"/>
        </w:rPr>
        <w:t>Method and limits of the comparison</w:t>
      </w:r>
    </w:p>
    <w:p w14:paraId="733A1232"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The chapter uses a qualitative controlled comparison of agreement texts, official evaluations, implementation materials, academic analysis and the parallel development of the EUDR. It asks which sustainability obligations exist, how they are monitored and enforced, which sectoral pressures shape implementation, and which forms of legitimacy or contestation they produce.</w:t>
      </w:r>
    </w:p>
    <w:p w14:paraId="15D8FA0F"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t>Two limitations remain. First, Mercosur has only recently entered provisional application, so a complete ex post assessment of ecological outcomes is not yet possible. The chapter therefore separates observed institutional developments from projected effects and normative claims. Second, the evidence is uneven. The Andean agreement has a longer implementation history and a published evaluation architecture, whereas Mercosur has a more visible record of negotiations and controversy but less evidence of long-term implementation. The comparison should therefore be read as an analysis of governance trajectories, not as a statistical test of environmental effectiveness.</w:t>
      </w:r>
    </w:p>
    <w:p w14:paraId="3FFDC886" w14:textId="77777777" w:rsidR="008E28CD" w:rsidRPr="004248F3" w:rsidRDefault="00000000">
      <w:pPr>
        <w:pStyle w:val="Ttulo1"/>
        <w:rPr>
          <w:rFonts w:cstheme="majorHAnsi"/>
        </w:rPr>
      </w:pPr>
      <w:r w:rsidRPr="004248F3">
        <w:rPr>
          <w:rFonts w:cstheme="majorHAnsi"/>
        </w:rPr>
        <w:lastRenderedPageBreak/>
        <w:t>Case one: the EU-Andean agreement and the quiet politics of implementation</w:t>
      </w:r>
    </w:p>
    <w:p w14:paraId="06028391"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section first reconstructs the agreement’s trajectory </w:t>
      </w:r>
      <w:proofErr w:type="gramStart"/>
      <w:r w:rsidRPr="004248F3">
        <w:rPr>
          <w:rFonts w:asciiTheme="majorHAnsi" w:hAnsiTheme="majorHAnsi" w:cstheme="majorHAnsi"/>
        </w:rPr>
        <w:t>in order to</w:t>
      </w:r>
      <w:proofErr w:type="gramEnd"/>
      <w:r w:rsidRPr="004248F3">
        <w:rPr>
          <w:rFonts w:asciiTheme="majorHAnsi" w:hAnsiTheme="majorHAnsi" w:cstheme="majorHAnsi"/>
        </w:rPr>
        <w:t xml:space="preserve"> show why the EU–Andean relationship developed as a case of routine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rather than continuous political confrontation. The agreement covers tariffs, non-tariff barriers, services, investment</w:t>
      </w:r>
      <w:r w:rsidR="009F5E07" w:rsidRPr="004248F3">
        <w:rPr>
          <w:rFonts w:asciiTheme="majorHAnsi" w:hAnsiTheme="majorHAnsi" w:cstheme="majorHAnsi"/>
        </w:rPr>
        <w:t xml:space="preserve">, and broader regulatory matters, while linking trade </w:t>
      </w:r>
      <w:proofErr w:type="spellStart"/>
      <w:r w:rsidR="009F5E07" w:rsidRPr="004248F3">
        <w:rPr>
          <w:rFonts w:asciiTheme="majorHAnsi" w:hAnsiTheme="majorHAnsi" w:cstheme="majorHAnsi"/>
        </w:rPr>
        <w:t>liberalisation</w:t>
      </w:r>
      <w:proofErr w:type="spellEnd"/>
      <w:r w:rsidR="009F5E07" w:rsidRPr="004248F3">
        <w:rPr>
          <w:rFonts w:asciiTheme="majorHAnsi" w:hAnsiTheme="majorHAnsi" w:cstheme="majorHAnsi"/>
        </w:rPr>
        <w:t xml:space="preserve"> to sustainable development</w:t>
      </w:r>
      <w:r w:rsidRPr="004248F3">
        <w:rPr>
          <w:rFonts w:asciiTheme="majorHAnsi" w:hAnsiTheme="majorHAnsi" w:cstheme="majorHAnsi"/>
        </w:rPr>
        <w:t xml:space="preserve"> commitments. Its institutional reach therefore extends beyond conventional market opening. Its political development nevertheless differs markedly from the more contested Mercosur process. The agreement has applied to Colombia and Peru since 2013 and to Ecuador since 2017, and its operation has been absorbed into annual Commission reporting, committee activity, implementation documentation and ex post evaluation (European Commission 2023).</w:t>
      </w:r>
    </w:p>
    <w:p w14:paraId="297DFEB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staged character of this trajectory is analytically important. Rather than emerging as a single dramatic geopolitical bargain, the agreement became embedded gradually across several national settings. Colombia and Peru entered implementation first, while Ecuador joined later. This sequence encouraged an administrative understanding of integration: each country remained formally sovereign, but domestic measures, international commitments and trade effects were increasingly discussed through a common institutional framework. The EU did not directly administer environmental or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policy in the Andean countries. Instead, it created procedures through which those policies could be reviewed and connected to commercial obligations. The arrangement is therefore best understood as a layered form of association, positioned between internal integration and conventional bilateral diplomacy.</w:t>
      </w:r>
    </w:p>
    <w:p w14:paraId="61A145F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trajectory illustrates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in practice. European categories and expectations travel through the agreement without requiring the partner states to enter the Union’s political institutions. Sustainability commitments, reporting procedures and monitoring practices establish a shared frame for discussing domestic regulation and its trade effects. The agreement increases the density and regularity of cross-border governance while preserving formal national autonomy. Its significance lies less in direct legal control than in </w:t>
      </w:r>
      <w:proofErr w:type="spellStart"/>
      <w:r w:rsidRPr="004248F3">
        <w:rPr>
          <w:rFonts w:asciiTheme="majorHAnsi" w:hAnsiTheme="majorHAnsi" w:cstheme="majorHAnsi"/>
        </w:rPr>
        <w:t>institutionalising</w:t>
      </w:r>
      <w:proofErr w:type="spellEnd"/>
      <w:r w:rsidRPr="004248F3">
        <w:rPr>
          <w:rFonts w:asciiTheme="majorHAnsi" w:hAnsiTheme="majorHAnsi" w:cstheme="majorHAnsi"/>
        </w:rPr>
        <w:t xml:space="preserve"> the vocabulary through which implementation is assessed.</w:t>
      </w:r>
    </w:p>
    <w:p w14:paraId="0305D0E7"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The case is especially revealing because it appears comparatively ordinary. The absence of sustained high-profile controversy does not demonstrate that sustainability provisions are effective, nor does it mean that the agreement lacks political consequences. It indicates that disagreement is often processed through administrative structures rather than through a visible crisis of legitimacy. The central question is therefore not whether politics disappeared, but how sustainability governance operates when conflict is translated into evaluation, reporting and committee work.</w:t>
      </w:r>
    </w:p>
    <w:p w14:paraId="112BDBED" w14:textId="77777777" w:rsidR="008E28CD" w:rsidRPr="004248F3" w:rsidRDefault="00EF6CF4">
      <w:pPr>
        <w:pStyle w:val="Ttulo2"/>
        <w:rPr>
          <w:rFonts w:cstheme="majorHAnsi"/>
        </w:rPr>
      </w:pPr>
      <w:r w:rsidRPr="004248F3">
        <w:rPr>
          <w:rFonts w:cstheme="majorHAnsi"/>
        </w:rPr>
        <w:t xml:space="preserve">Sustainability provisions, evaluation and the technical </w:t>
      </w:r>
      <w:proofErr w:type="spellStart"/>
      <w:r w:rsidRPr="004248F3">
        <w:rPr>
          <w:rFonts w:cstheme="majorHAnsi"/>
        </w:rPr>
        <w:t>organisation</w:t>
      </w:r>
      <w:proofErr w:type="spellEnd"/>
      <w:r w:rsidRPr="004248F3">
        <w:rPr>
          <w:rFonts w:cstheme="majorHAnsi"/>
        </w:rPr>
        <w:t xml:space="preserve"> of conflict</w:t>
      </w:r>
    </w:p>
    <w:p w14:paraId="5AA0DACE"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next part examines how sustainability provisions acquire practical meaning through evaluation. The agreement’s Trade and Sustainable Development framework connects market access to environmental protection,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standards and international commitments, but the legal text does not determine its own effects. Implementation depends on how obligations are interpreted, which indicators are selected, what evidence is gathered and how institutional actors respond to identified problems. The sustainability architecture must therefore be assessed as an ongoing process rather than as a fixed set of clauses.</w:t>
      </w:r>
    </w:p>
    <w:p w14:paraId="67F6FB28"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lastRenderedPageBreak/>
        <w:t xml:space="preserve">The Commission’s evaluation system is central to this process. It distinguishes between impact assessments before negotiations, Sustainability Impact Assessments during negotiations, economic analysis after a negotiated outcome and ex post evaluations once implementation has generated sufficient evidence (European Commission 2023). The EU–Andean agreement has reached this final stage. An </w:t>
      </w:r>
      <w:proofErr w:type="gramStart"/>
      <w:r w:rsidRPr="004248F3">
        <w:rPr>
          <w:rFonts w:asciiTheme="majorHAnsi" w:hAnsiTheme="majorHAnsi" w:cstheme="majorHAnsi"/>
        </w:rPr>
        <w:t>ex post</w:t>
      </w:r>
      <w:proofErr w:type="gramEnd"/>
      <w:r w:rsidRPr="004248F3">
        <w:rPr>
          <w:rFonts w:asciiTheme="majorHAnsi" w:hAnsiTheme="majorHAnsi" w:cstheme="majorHAnsi"/>
        </w:rPr>
        <w:t xml:space="preserve"> evaluation does not establish that the agreement achieved its social or environmental objectives. It does, however, create an official framework for asking whether the intervention produced intended effects, whether unintended consequences emerged and whether plausible causal mechanisms can be identified.</w:t>
      </w:r>
    </w:p>
    <w:p w14:paraId="090E241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Commission’s final ex post study assessed effectiveness, impact, efficiency, coherence</w:t>
      </w:r>
      <w:r w:rsidR="009F5E07" w:rsidRPr="004248F3">
        <w:rPr>
          <w:rFonts w:asciiTheme="majorHAnsi" w:hAnsiTheme="majorHAnsi" w:cstheme="majorHAnsi"/>
        </w:rPr>
        <w:t>, and relevance across economic, social, environmental, and human rights</w:t>
      </w:r>
      <w:r w:rsidRPr="004248F3">
        <w:rPr>
          <w:rFonts w:asciiTheme="majorHAnsi" w:hAnsiTheme="majorHAnsi" w:cstheme="majorHAnsi"/>
        </w:rPr>
        <w:t xml:space="preserve"> dimensions (European Commission 2022). This breadth produces a more differentiated evidentiary record than is currently available for Mercosur. Nevertheless, the study should not be treated as a definitive measure of sustainability performance. It combines different indicators, case studies and causal claims, while the Commission’s subsequent staff assessment remains part of an institutional evaluation process rather than an independent counterfactual test of environmental effects.</w:t>
      </w:r>
    </w:p>
    <w:p w14:paraId="7E8A87A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Evaluation can </w:t>
      </w:r>
      <w:proofErr w:type="spellStart"/>
      <w:r w:rsidRPr="004248F3">
        <w:rPr>
          <w:rFonts w:asciiTheme="majorHAnsi" w:hAnsiTheme="majorHAnsi" w:cstheme="majorHAnsi"/>
        </w:rPr>
        <w:t>depoliticise</w:t>
      </w:r>
      <w:proofErr w:type="spellEnd"/>
      <w:r w:rsidRPr="004248F3">
        <w:rPr>
          <w:rFonts w:asciiTheme="majorHAnsi" w:hAnsiTheme="majorHAnsi" w:cstheme="majorHAnsi"/>
        </w:rPr>
        <w:t xml:space="preserve"> implementation in two related ways. First, it translates disagreement into a technical language of indicators, baselines, consultations and measurable outcomes. Questions about distributive conflict may be reformulated as questions of administrative capacity or implementation quality. A dispute over who should bear the cost of traceability, for example, can appear as a problem of technical assistance. A disagreement over policy autonomy can be reframed as a matter of clause interpretation. Second, evaluation separates evidence production from the political moment of negotiation. This can support learning and later adjustment, but it can also reduce the visibility of unresolved conflicts.</w:t>
      </w:r>
    </w:p>
    <w:p w14:paraId="2382E59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choice of what to measure is therefore political. An evaluation may document trade flows, committee meetings, legal reforms</w:t>
      </w:r>
      <w:r w:rsidR="009F5E07" w:rsidRPr="004248F3">
        <w:rPr>
          <w:rFonts w:asciiTheme="majorHAnsi" w:hAnsiTheme="majorHAnsi" w:cstheme="majorHAnsi"/>
        </w:rPr>
        <w:t xml:space="preserve">, and formal compliance while paying less attention to land concentration, informal </w:t>
      </w:r>
      <w:proofErr w:type="spellStart"/>
      <w:r w:rsidR="009F5E07" w:rsidRPr="004248F3">
        <w:rPr>
          <w:rFonts w:asciiTheme="majorHAnsi" w:hAnsiTheme="majorHAnsi" w:cstheme="majorHAnsi"/>
        </w:rPr>
        <w:t>labour</w:t>
      </w:r>
      <w:proofErr w:type="spellEnd"/>
      <w:r w:rsidR="009F5E07" w:rsidRPr="004248F3">
        <w:rPr>
          <w:rFonts w:asciiTheme="majorHAnsi" w:hAnsiTheme="majorHAnsi" w:cstheme="majorHAnsi"/>
        </w:rPr>
        <w:t>, community rights,</w:t>
      </w:r>
      <w:r w:rsidRPr="004248F3">
        <w:rPr>
          <w:rFonts w:asciiTheme="majorHAnsi" w:hAnsiTheme="majorHAnsi" w:cstheme="majorHAnsi"/>
        </w:rPr>
        <w:t xml:space="preserve"> or unequal exposure to market volatility. Routine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does not remove political choices; it </w:t>
      </w:r>
      <w:proofErr w:type="spellStart"/>
      <w:r w:rsidRPr="004248F3">
        <w:rPr>
          <w:rFonts w:asciiTheme="majorHAnsi" w:hAnsiTheme="majorHAnsi" w:cstheme="majorHAnsi"/>
        </w:rPr>
        <w:t>organises</w:t>
      </w:r>
      <w:proofErr w:type="spellEnd"/>
      <w:r w:rsidRPr="004248F3">
        <w:rPr>
          <w:rFonts w:asciiTheme="majorHAnsi" w:hAnsiTheme="majorHAnsi" w:cstheme="majorHAnsi"/>
        </w:rPr>
        <w:t xml:space="preserve"> them. The Andean case shows that </w:t>
      </w:r>
      <w:proofErr w:type="spellStart"/>
      <w:r w:rsidRPr="004248F3">
        <w:rPr>
          <w:rFonts w:asciiTheme="majorHAnsi" w:hAnsiTheme="majorHAnsi" w:cstheme="majorHAnsi"/>
        </w:rPr>
        <w:t>depoliticisation</w:t>
      </w:r>
      <w:proofErr w:type="spellEnd"/>
      <w:r w:rsidRPr="004248F3">
        <w:rPr>
          <w:rFonts w:asciiTheme="majorHAnsi" w:hAnsiTheme="majorHAnsi" w:cstheme="majorHAnsi"/>
        </w:rPr>
        <w:t xml:space="preserve"> is not the absence of politics but the relocation of political questions into technical procedures whose assumptions may receive less scrutiny.</w:t>
      </w:r>
    </w:p>
    <w:p w14:paraId="6FAE961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Parliamentary oversight identifies some issues that formal evaluation may understate. In 2019, the European Parliament welcomed aspects of </w:t>
      </w:r>
      <w:r w:rsidR="009F5E07" w:rsidRPr="004248F3">
        <w:rPr>
          <w:rFonts w:asciiTheme="majorHAnsi" w:hAnsiTheme="majorHAnsi" w:cstheme="majorHAnsi"/>
        </w:rPr>
        <w:t xml:space="preserve">the implementation but called for stronger </w:t>
      </w:r>
      <w:proofErr w:type="spellStart"/>
      <w:r w:rsidR="009F5E07" w:rsidRPr="004248F3">
        <w:rPr>
          <w:rFonts w:asciiTheme="majorHAnsi" w:hAnsiTheme="majorHAnsi" w:cstheme="majorHAnsi"/>
        </w:rPr>
        <w:t>labour</w:t>
      </w:r>
      <w:proofErr w:type="spellEnd"/>
      <w:r w:rsidR="009F5E07" w:rsidRPr="004248F3">
        <w:rPr>
          <w:rFonts w:asciiTheme="majorHAnsi" w:hAnsiTheme="majorHAnsi" w:cstheme="majorHAnsi"/>
        </w:rPr>
        <w:t xml:space="preserve"> inspection, more independent civil society participation, effective application of International </w:t>
      </w:r>
      <w:proofErr w:type="spellStart"/>
      <w:r w:rsidR="009F5E07" w:rsidRPr="004248F3">
        <w:rPr>
          <w:rFonts w:asciiTheme="majorHAnsi" w:hAnsiTheme="majorHAnsi" w:cstheme="majorHAnsi"/>
        </w:rPr>
        <w:t>Labour</w:t>
      </w:r>
      <w:proofErr w:type="spellEnd"/>
      <w:r w:rsidR="009F5E07" w:rsidRPr="004248F3">
        <w:rPr>
          <w:rFonts w:asciiTheme="majorHAnsi" w:hAnsiTheme="majorHAnsi" w:cstheme="majorHAnsi"/>
        </w:rPr>
        <w:t xml:space="preserve"> </w:t>
      </w:r>
      <w:proofErr w:type="spellStart"/>
      <w:r w:rsidR="009F5E07" w:rsidRPr="004248F3">
        <w:rPr>
          <w:rFonts w:asciiTheme="majorHAnsi" w:hAnsiTheme="majorHAnsi" w:cstheme="majorHAnsi"/>
        </w:rPr>
        <w:t>Organisation</w:t>
      </w:r>
      <w:proofErr w:type="spellEnd"/>
      <w:r w:rsidR="009F5E07" w:rsidRPr="004248F3">
        <w:rPr>
          <w:rFonts w:asciiTheme="majorHAnsi" w:hAnsiTheme="majorHAnsi" w:cstheme="majorHAnsi"/>
        </w:rPr>
        <w:t xml:space="preserve"> conventions,</w:t>
      </w:r>
      <w:r w:rsidRPr="004248F3">
        <w:rPr>
          <w:rFonts w:asciiTheme="majorHAnsi" w:hAnsiTheme="majorHAnsi" w:cstheme="majorHAnsi"/>
        </w:rPr>
        <w:t xml:space="preserve"> and safeguards against legislative changes that could lower environmental standards to attract investment (European Parliament 2019). It also highlighted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informality and the position of women workers. These concerns show that sustainability provisions depend on domestic institutions capable of turning formal commitments into practical protection.</w:t>
      </w:r>
    </w:p>
    <w:p w14:paraId="17C1C296"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The earlier European Implementation Assessment similarly reviewed trade, investment and the TSD chapter across a broader policy field (</w:t>
      </w:r>
      <w:proofErr w:type="spellStart"/>
      <w:r w:rsidRPr="004248F3">
        <w:rPr>
          <w:rFonts w:asciiTheme="majorHAnsi" w:hAnsiTheme="majorHAnsi" w:cstheme="majorHAnsi"/>
        </w:rPr>
        <w:t>Zygierewicz</w:t>
      </w:r>
      <w:proofErr w:type="spellEnd"/>
      <w:r w:rsidRPr="004248F3">
        <w:rPr>
          <w:rFonts w:asciiTheme="majorHAnsi" w:hAnsiTheme="majorHAnsi" w:cstheme="majorHAnsi"/>
        </w:rPr>
        <w:t xml:space="preserve"> 2018). Together, these reports reveal an agreement subject to substantial documentary scrutiny but lacking any single indicator capable of determining whether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xml:space="preserve"> improved environmental or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outcomes. The </w:t>
      </w:r>
      <w:proofErr w:type="gramStart"/>
      <w:r w:rsidRPr="004248F3">
        <w:rPr>
          <w:rFonts w:asciiTheme="majorHAnsi" w:hAnsiTheme="majorHAnsi" w:cstheme="majorHAnsi"/>
        </w:rPr>
        <w:t>evaluation</w:t>
      </w:r>
      <w:proofErr w:type="gramEnd"/>
      <w:r w:rsidRPr="004248F3">
        <w:rPr>
          <w:rFonts w:asciiTheme="majorHAnsi" w:hAnsiTheme="majorHAnsi" w:cstheme="majorHAnsi"/>
        </w:rPr>
        <w:t xml:space="preserve"> architecture is </w:t>
      </w:r>
      <w:r w:rsidRPr="004248F3">
        <w:rPr>
          <w:rFonts w:asciiTheme="majorHAnsi" w:hAnsiTheme="majorHAnsi" w:cstheme="majorHAnsi"/>
        </w:rPr>
        <w:lastRenderedPageBreak/>
        <w:t xml:space="preserve">therefore both a strength and a limitation: it creates continuity and opportunities for review, yet it can fragment responsibility across multiple documents and administrative </w:t>
      </w:r>
      <w:proofErr w:type="gramStart"/>
      <w:r w:rsidRPr="004248F3">
        <w:rPr>
          <w:rFonts w:asciiTheme="majorHAnsi" w:hAnsiTheme="majorHAnsi" w:cstheme="majorHAnsi"/>
        </w:rPr>
        <w:t>forums..</w:t>
      </w:r>
      <w:proofErr w:type="gramEnd"/>
    </w:p>
    <w:p w14:paraId="7F52A544" w14:textId="77777777" w:rsidR="008E28CD" w:rsidRPr="004248F3" w:rsidRDefault="00EF6CF4">
      <w:pPr>
        <w:pStyle w:val="Ttulo2"/>
        <w:rPr>
          <w:rFonts w:cstheme="majorHAnsi"/>
        </w:rPr>
      </w:pPr>
      <w:r w:rsidRPr="004248F3">
        <w:rPr>
          <w:rFonts w:cstheme="majorHAnsi"/>
        </w:rPr>
        <w:t>Committee governance and the sectoral political economy of implementation</w:t>
      </w:r>
    </w:p>
    <w:p w14:paraId="209B2B6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third part turns to implementation committees, because these bodies reveal how broad treaty commitments are translated into practical agendas. Garcia and Gomez Arana (2025), drawing on public implementation documents and interviews concerning the EU–Andean and EU–Central America agreements, describe these arrangements as living agreements. The treaty </w:t>
      </w:r>
      <w:proofErr w:type="gramStart"/>
      <w:r w:rsidRPr="004248F3">
        <w:rPr>
          <w:rFonts w:asciiTheme="majorHAnsi" w:hAnsiTheme="majorHAnsi" w:cstheme="majorHAnsi"/>
        </w:rPr>
        <w:t>text</w:t>
      </w:r>
      <w:proofErr w:type="gramEnd"/>
      <w:r w:rsidRPr="004248F3">
        <w:rPr>
          <w:rFonts w:asciiTheme="majorHAnsi" w:hAnsiTheme="majorHAnsi" w:cstheme="majorHAnsi"/>
        </w:rPr>
        <w:t xml:space="preserve"> establishes an initial framework, but committees determine which problems become visible, which actors receive attention and which actions are requested. Sustainability provisions therefore acquire meaning through repeated institutional practice.</w:t>
      </w:r>
    </w:p>
    <w:p w14:paraId="7BDDA2A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Committees perform a dual function. They allow adaptation to newer sustainability concerns, but they also exercise agenda control. European officials can request information, raise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or environmental issues and propose cooperation. Partner governments can explain administrative constraints, contest European priorities and seek recognition of domestic circumstances. This exchange is structured, but it occurs within relationships marked by economic asymmetry. The EU’s market size and regulatory capacity shape the context in which dialogue takes place, even when formal decision-making remains cooperative.</w:t>
      </w:r>
    </w:p>
    <w:p w14:paraId="00B6BBE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Domestic Advisory Groups and joint civil-society meetings can broaden participation, but their presence does not guarantee equal influence. Producer </w:t>
      </w:r>
      <w:proofErr w:type="spellStart"/>
      <w:r w:rsidRPr="004248F3">
        <w:rPr>
          <w:rFonts w:asciiTheme="majorHAnsi" w:hAnsiTheme="majorHAnsi" w:cstheme="majorHAnsi"/>
        </w:rPr>
        <w:t>organisations</w:t>
      </w:r>
      <w:proofErr w:type="spellEnd"/>
      <w:r w:rsidRPr="004248F3">
        <w:rPr>
          <w:rFonts w:asciiTheme="majorHAnsi" w:hAnsiTheme="majorHAnsi" w:cstheme="majorHAnsi"/>
        </w:rPr>
        <w:t>, informal workers, affected communities and environmental groups differ in their access to information, resources and ability to sustain participation. Inclusion must therefore be assessed through representation, transparency and evidence of follow-up rather than by counting meetings alone. A participatory structure may widen the range of voices while leaving bargaining power largely intact.</w:t>
      </w:r>
    </w:p>
    <w:p w14:paraId="7D52C2CF"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committee system is hybrid. It is more formal and continuous than diplomatic consultation, yet less coercive than judicial enforcement. It creates regularity without removing discretion. This structure can support incremental learning by clarifying obligations, connecting agencies and keeping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and environmental concerns within the trade relationship. However, incrementalism has a structural weakness: when implementation is consistently presented as gradual improvement, institutions may avoid asking whether the trade relationship itself contributes to the underlying problem.</w:t>
      </w:r>
    </w:p>
    <w:p w14:paraId="6B088D1D"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 xml:space="preserve">The sectoral political economy of the agreement reinforces this limitation. Sustainability obligations affect sectors and actors unevenly because compliance depends on access to data, certification, inspection, finance and administrative support. Formal obligations may apply across the agreement, but their costs are distributed through specific production systems. Firms and producers with greater resources can adapt more easily to reporting and traceability expectations, while smaller producers, informal workers and </w:t>
      </w:r>
      <w:proofErr w:type="spellStart"/>
      <w:r w:rsidRPr="004248F3">
        <w:rPr>
          <w:rFonts w:asciiTheme="majorHAnsi" w:hAnsiTheme="majorHAnsi" w:cstheme="majorHAnsi"/>
        </w:rPr>
        <w:t>marginalised</w:t>
      </w:r>
      <w:proofErr w:type="spellEnd"/>
      <w:r w:rsidRPr="004248F3">
        <w:rPr>
          <w:rFonts w:asciiTheme="majorHAnsi" w:hAnsiTheme="majorHAnsi" w:cstheme="majorHAnsi"/>
        </w:rPr>
        <w:t xml:space="preserve"> communities may face higher relative burdens. The evaluation and parliamentary materials point to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informality, inspection capacity, environmental non-regression and unequal participation as central concerns. These issues show that practical effects depend not only on treaty design but also on the domestic institutions through which production, employment and environmental governance are </w:t>
      </w:r>
      <w:proofErr w:type="spellStart"/>
      <w:r w:rsidRPr="004248F3">
        <w:rPr>
          <w:rFonts w:asciiTheme="majorHAnsi" w:hAnsiTheme="majorHAnsi" w:cstheme="majorHAnsi"/>
        </w:rPr>
        <w:t>organised</w:t>
      </w:r>
      <w:proofErr w:type="spellEnd"/>
      <w:r w:rsidRPr="004248F3">
        <w:rPr>
          <w:rFonts w:asciiTheme="majorHAnsi" w:hAnsiTheme="majorHAnsi" w:cstheme="majorHAnsi"/>
        </w:rPr>
        <w:t>.</w:t>
      </w:r>
    </w:p>
    <w:p w14:paraId="421A77F6" w14:textId="77777777" w:rsidR="008E28CD" w:rsidRPr="004248F3" w:rsidRDefault="00EF6CF4">
      <w:pPr>
        <w:pStyle w:val="Ttulo2"/>
        <w:rPr>
          <w:rFonts w:cstheme="majorHAnsi"/>
        </w:rPr>
      </w:pPr>
      <w:r w:rsidRPr="004248F3">
        <w:rPr>
          <w:rFonts w:cstheme="majorHAnsi"/>
        </w:rPr>
        <w:lastRenderedPageBreak/>
        <w:t>Why quiet implementation remains political</w:t>
      </w:r>
    </w:p>
    <w:p w14:paraId="0C78FDE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final part explains why the agreement has remained relatively </w:t>
      </w:r>
      <w:proofErr w:type="spellStart"/>
      <w:r w:rsidRPr="004248F3">
        <w:rPr>
          <w:rFonts w:asciiTheme="majorHAnsi" w:hAnsiTheme="majorHAnsi" w:cstheme="majorHAnsi"/>
        </w:rPr>
        <w:t>depoliticised</w:t>
      </w:r>
      <w:proofErr w:type="spellEnd"/>
      <w:r w:rsidRPr="004248F3">
        <w:rPr>
          <w:rFonts w:asciiTheme="majorHAnsi" w:hAnsiTheme="majorHAnsi" w:cstheme="majorHAnsi"/>
        </w:rPr>
        <w:t xml:space="preserve"> and what this reveals analytically. Several features have limited the concentration of public conflict. The agreement was implemented in stages, its evaluation architecture developed through ordinary Commission procedures, and its sustainability controversies were distributed across several countries and sectors. Unlike Mercosur, it did not become </w:t>
      </w:r>
      <w:r w:rsidR="009F5E07" w:rsidRPr="004248F3">
        <w:rPr>
          <w:rFonts w:asciiTheme="majorHAnsi" w:hAnsiTheme="majorHAnsi" w:cstheme="majorHAnsi"/>
        </w:rPr>
        <w:t>inextricably associated with a single emblematic conflict, such as the Amazon, the Green Deal,</w:t>
      </w:r>
      <w:r w:rsidRPr="004248F3">
        <w:rPr>
          <w:rFonts w:asciiTheme="majorHAnsi" w:hAnsiTheme="majorHAnsi" w:cstheme="majorHAnsi"/>
        </w:rPr>
        <w:t xml:space="preserve"> or European agricultural </w:t>
      </w:r>
      <w:proofErr w:type="spellStart"/>
      <w:r w:rsidRPr="004248F3">
        <w:rPr>
          <w:rFonts w:asciiTheme="majorHAnsi" w:hAnsiTheme="majorHAnsi" w:cstheme="majorHAnsi"/>
        </w:rPr>
        <w:t>mobilisation</w:t>
      </w:r>
      <w:proofErr w:type="spellEnd"/>
      <w:r w:rsidRPr="004248F3">
        <w:rPr>
          <w:rFonts w:asciiTheme="majorHAnsi" w:hAnsiTheme="majorHAnsi" w:cstheme="majorHAnsi"/>
        </w:rPr>
        <w:t>. Fragmented issues are harder to transform into a single political symbol.</w:t>
      </w:r>
    </w:p>
    <w:p w14:paraId="18B118C1"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relative quiet should not be confused with consensus. A less visible agreement can still create obligations for governments, firms and producers, and establish precedents for monitoring future trade arrangements. The absence of crisis may indicate that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has been embedded successfully in routine procedures. It may also indicate that distributional conflict has been displaced into technical arenas where it attracts less attention. Evaluation, committee work and civil-society dialogue can therefore </w:t>
      </w:r>
      <w:proofErr w:type="spellStart"/>
      <w:r w:rsidRPr="004248F3">
        <w:rPr>
          <w:rFonts w:asciiTheme="majorHAnsi" w:hAnsiTheme="majorHAnsi" w:cstheme="majorHAnsi"/>
        </w:rPr>
        <w:t>stabilise</w:t>
      </w:r>
      <w:proofErr w:type="spellEnd"/>
      <w:r w:rsidRPr="004248F3">
        <w:rPr>
          <w:rFonts w:asciiTheme="majorHAnsi" w:hAnsiTheme="majorHAnsi" w:cstheme="majorHAnsi"/>
        </w:rPr>
        <w:t xml:space="preserve"> the relationship while narrowing the terms in which disagreement is expressed.</w:t>
      </w:r>
    </w:p>
    <w:p w14:paraId="5D0F606E"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Analytically, the case shows that the EU’s common sustainability template is not self-executing. Practical effects depend on the institutions created after signature, the actors capable of using them and the resources available for implementation. The agreement supplies a framework, but it does not </w:t>
      </w:r>
      <w:proofErr w:type="gramStart"/>
      <w:r w:rsidRPr="004248F3">
        <w:rPr>
          <w:rFonts w:asciiTheme="majorHAnsi" w:hAnsiTheme="majorHAnsi" w:cstheme="majorHAnsi"/>
        </w:rPr>
        <w:t>predetermine</w:t>
      </w:r>
      <w:proofErr w:type="gramEnd"/>
      <w:r w:rsidRPr="004248F3">
        <w:rPr>
          <w:rFonts w:asciiTheme="majorHAnsi" w:hAnsiTheme="majorHAnsi" w:cstheme="majorHAnsi"/>
        </w:rPr>
        <w:t xml:space="preserve"> which demands will be </w:t>
      </w:r>
      <w:proofErr w:type="spellStart"/>
      <w:r w:rsidRPr="004248F3">
        <w:rPr>
          <w:rFonts w:asciiTheme="majorHAnsi" w:hAnsiTheme="majorHAnsi" w:cstheme="majorHAnsi"/>
        </w:rPr>
        <w:t>prioritised</w:t>
      </w:r>
      <w:proofErr w:type="spellEnd"/>
      <w:r w:rsidRPr="004248F3">
        <w:rPr>
          <w:rFonts w:asciiTheme="majorHAnsi" w:hAnsiTheme="majorHAnsi" w:cstheme="majorHAnsi"/>
        </w:rPr>
        <w:t xml:space="preserve"> or how adjustment costs will be allocated.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consequently a process of negotiated translation rather than the straightforward transmission of European rules.</w:t>
      </w:r>
    </w:p>
    <w:p w14:paraId="31F33E45"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 xml:space="preserve">The comparison with Mercosur should therefore not be reduced to </w:t>
      </w:r>
      <w:r w:rsidR="000035EF" w:rsidRPr="004248F3">
        <w:rPr>
          <w:rFonts w:asciiTheme="majorHAnsi" w:hAnsiTheme="majorHAnsi" w:cstheme="majorHAnsi"/>
        </w:rPr>
        <w:t xml:space="preserve">a matter of </w:t>
      </w:r>
      <w:r w:rsidRPr="004248F3">
        <w:rPr>
          <w:rFonts w:asciiTheme="majorHAnsi" w:hAnsiTheme="majorHAnsi" w:cstheme="majorHAnsi"/>
        </w:rPr>
        <w:t>cooperation versus conflict. The Andean agreement makes routine cooperation easier to observe, but its quieter trajectory can conceal political choices embedded in indicators, consultations and administrative agendas. What becomes technical does not cease to be political; it operates in a different register. The case demonstrates that the EU’s normative reach is strongest when embedded in durable procedures for reporting, evaluation and committee work. Those procedures constitute a real form of integration, but their limits become visible when the underlying problem concerns not merely coordination but competing development models, unequal market power and the distribution of environmental and social costs.</w:t>
      </w:r>
    </w:p>
    <w:p w14:paraId="5BA89C88" w14:textId="77777777" w:rsidR="008E28CD" w:rsidRPr="004248F3" w:rsidRDefault="00000000">
      <w:pPr>
        <w:pStyle w:val="Ttulo1"/>
        <w:rPr>
          <w:rFonts w:cstheme="majorHAnsi"/>
        </w:rPr>
      </w:pPr>
      <w:r w:rsidRPr="004248F3">
        <w:rPr>
          <w:rFonts w:cstheme="majorHAnsi"/>
        </w:rPr>
        <w:t>Case two: the EU-Mercosur agreement and the crisis of green credibility</w:t>
      </w:r>
    </w:p>
    <w:p w14:paraId="6E89E179"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case first requires a distinction between the successive legal and political stages of the EU–Mercosur process. The Council adopted negotiating directives in 1999, formal negotiations opened in 2000, the trade pillar was concluded in principle in 2019, and the parties announced a political agreement on an improved Partnership Agreement on 6 December 2024. The interim Trade Agreement and the broader Partnership Agreement were signed on 17 January 2026, with the interim instrument entering provisional application on 1 May 2026 (Albertoni and Schlegelmilch 2026; European Commission 2026a). These dates mark a sequence in which commercial bargaining, political closure, legal </w:t>
      </w:r>
      <w:proofErr w:type="spellStart"/>
      <w:r w:rsidRPr="004248F3">
        <w:rPr>
          <w:rFonts w:asciiTheme="majorHAnsi" w:hAnsiTheme="majorHAnsi" w:cstheme="majorHAnsi"/>
        </w:rPr>
        <w:t>finalisation</w:t>
      </w:r>
      <w:proofErr w:type="spellEnd"/>
      <w:r w:rsidRPr="004248F3">
        <w:rPr>
          <w:rFonts w:asciiTheme="majorHAnsi" w:hAnsiTheme="majorHAnsi" w:cstheme="majorHAnsi"/>
        </w:rPr>
        <w:t xml:space="preserve"> and implementation occurred separately.</w:t>
      </w:r>
    </w:p>
    <w:p w14:paraId="3A9BD78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length of the negotiation reflects more than technical complexity. Talks were shaped by disputes over agriculture, services, public procurement, industrial access and regulatory autonomy. Negotiations were suspended during the 2000s and resumed in 2010, while both regions underwent political and economic </w:t>
      </w:r>
      <w:r w:rsidRPr="004248F3">
        <w:rPr>
          <w:rFonts w:asciiTheme="majorHAnsi" w:hAnsiTheme="majorHAnsi" w:cstheme="majorHAnsi"/>
        </w:rPr>
        <w:lastRenderedPageBreak/>
        <w:t xml:space="preserve">change. By 2019, the agreement had acquired a meaning different from that envisaged in the original mandate. It had become a test of whether the EU could preserve </w:t>
      </w:r>
      <w:r w:rsidR="000035EF" w:rsidRPr="004248F3">
        <w:rPr>
          <w:rFonts w:asciiTheme="majorHAnsi" w:hAnsiTheme="majorHAnsi" w:cstheme="majorHAnsi"/>
        </w:rPr>
        <w:t>its strategic influence in Latin America, diversify its supply chains, and continue to present</w:t>
      </w:r>
      <w:r w:rsidRPr="004248F3">
        <w:rPr>
          <w:rFonts w:asciiTheme="majorHAnsi" w:hAnsiTheme="majorHAnsi" w:cstheme="majorHAnsi"/>
        </w:rPr>
        <w:t xml:space="preserve"> itself as a defender of open, rules-based trade.</w:t>
      </w:r>
    </w:p>
    <w:p w14:paraId="07A7C6D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Mercosur governments sought improved access to the European market while defending domestic agricultural and industrial policies. The agreement therefore concerned not only tariffs but also the distribution of regulatory authority. The EU sought to attach environmental and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expectations to market access, whereas Mercosur governments resisted the implication that European categories should determine their development trajectories. This tension made the agreement a demanding case of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the Union could extend standards through trade, but it could not remove the sovereignty claims and distributive conflicts accompanying them.</w:t>
      </w:r>
    </w:p>
    <w:p w14:paraId="4A83B81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December 2024 conclusion must be interpreted within this altered geopolitical context. Albertoni and Schlegelmilch (2026) argue that the agreement became possible when the costs of failure changed. Strategic competition, pressure on supply chains and the EU’s need to demonstrate continued capacity for external </w:t>
      </w:r>
      <w:proofErr w:type="gramStart"/>
      <w:r w:rsidRPr="004248F3">
        <w:rPr>
          <w:rFonts w:asciiTheme="majorHAnsi" w:hAnsiTheme="majorHAnsi" w:cstheme="majorHAnsi"/>
        </w:rPr>
        <w:t>agreement</w:t>
      </w:r>
      <w:proofErr w:type="gramEnd"/>
      <w:r w:rsidRPr="004248F3">
        <w:rPr>
          <w:rFonts w:asciiTheme="majorHAnsi" w:hAnsiTheme="majorHAnsi" w:cstheme="majorHAnsi"/>
        </w:rPr>
        <w:t xml:space="preserve"> raised the value of closure. Agricultural and environmental disputes did not disappear; governments became more willing to contain them within a compromise. The 2024 outcome was therefore a moment of strategic closure rather than a settlement of the underlying political economy.</w:t>
      </w:r>
    </w:p>
    <w:p w14:paraId="3A3A149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Implementation remains too recent to support an </w:t>
      </w:r>
      <w:proofErr w:type="gramStart"/>
      <w:r w:rsidRPr="004248F3">
        <w:rPr>
          <w:rFonts w:asciiTheme="majorHAnsi" w:hAnsiTheme="majorHAnsi" w:cstheme="majorHAnsi"/>
        </w:rPr>
        <w:t>ex post</w:t>
      </w:r>
      <w:proofErr w:type="gramEnd"/>
      <w:r w:rsidRPr="004248F3">
        <w:rPr>
          <w:rFonts w:asciiTheme="majorHAnsi" w:hAnsiTheme="majorHAnsi" w:cstheme="majorHAnsi"/>
        </w:rPr>
        <w:t xml:space="preserve"> assessment of environmental effects. The legal sequence can be </w:t>
      </w:r>
      <w:proofErr w:type="gramStart"/>
      <w:r w:rsidRPr="004248F3">
        <w:rPr>
          <w:rFonts w:asciiTheme="majorHAnsi" w:hAnsiTheme="majorHAnsi" w:cstheme="majorHAnsi"/>
        </w:rPr>
        <w:t>documented, but</w:t>
      </w:r>
      <w:proofErr w:type="gramEnd"/>
      <w:r w:rsidRPr="004248F3">
        <w:rPr>
          <w:rFonts w:asciiTheme="majorHAnsi" w:hAnsiTheme="majorHAnsi" w:cstheme="majorHAnsi"/>
        </w:rPr>
        <w:t xml:space="preserve"> claims about ecological transformation would be premature. The analysis must therefore examine the obligations, procedures and expectations created by the revised architecture while separating observed institutional developments from projected outcomes.</w:t>
      </w:r>
    </w:p>
    <w:p w14:paraId="61357EBC" w14:textId="107E6B49" w:rsidR="00164CBC" w:rsidRPr="004248F3" w:rsidRDefault="00000000">
      <w:pPr>
        <w:rPr>
          <w:rFonts w:asciiTheme="majorHAnsi" w:hAnsiTheme="majorHAnsi" w:cstheme="majorHAnsi"/>
        </w:rPr>
      </w:pPr>
      <w:r w:rsidRPr="004248F3">
        <w:rPr>
          <w:rFonts w:asciiTheme="majorHAnsi" w:hAnsiTheme="majorHAnsi" w:cstheme="majorHAnsi"/>
        </w:rPr>
        <w:fldChar w:fldCharType="begin"/>
      </w:r>
      <w:r w:rsidRPr="004248F3">
        <w:rPr>
          <w:rFonts w:asciiTheme="majorHAnsi" w:hAnsiTheme="majorHAnsi" w:cstheme="majorHAnsi"/>
        </w:rPr>
        <w:instrText xml:space="preserve"> REF _RefFigure1 \h </w:instrText>
      </w:r>
      <w:r w:rsidRPr="004248F3">
        <w:rPr>
          <w:rFonts w:asciiTheme="majorHAnsi" w:hAnsiTheme="majorHAnsi" w:cstheme="majorHAnsi"/>
        </w:rPr>
      </w:r>
      <w:r w:rsidR="004248F3">
        <w:rPr>
          <w:rFonts w:asciiTheme="majorHAnsi" w:hAnsiTheme="majorHAnsi" w:cstheme="majorHAnsi"/>
        </w:rPr>
        <w:instrText xml:space="preserve"> \* MERGEFORMAT </w:instrText>
      </w:r>
      <w:r w:rsidRPr="004248F3">
        <w:rPr>
          <w:rFonts w:asciiTheme="majorHAnsi" w:hAnsiTheme="majorHAnsi" w:cstheme="majorHAnsi"/>
        </w:rPr>
        <w:fldChar w:fldCharType="separate"/>
      </w:r>
      <w:r w:rsidR="002A258E" w:rsidRPr="004248F3">
        <w:rPr>
          <w:rFonts w:asciiTheme="majorHAnsi" w:hAnsiTheme="majorHAnsi" w:cstheme="majorHAnsi"/>
        </w:rPr>
        <w:t xml:space="preserve">Figure </w:t>
      </w:r>
      <w:r w:rsidR="002A258E" w:rsidRPr="004248F3">
        <w:rPr>
          <w:rFonts w:asciiTheme="majorHAnsi" w:hAnsiTheme="majorHAnsi" w:cstheme="majorHAnsi"/>
          <w:noProof/>
        </w:rPr>
        <w:t>1</w:t>
      </w:r>
      <w:r w:rsidRPr="004248F3">
        <w:rPr>
          <w:rFonts w:asciiTheme="majorHAnsi" w:hAnsiTheme="majorHAnsi" w:cstheme="majorHAnsi"/>
        </w:rPr>
        <w:fldChar w:fldCharType="end"/>
      </w:r>
      <w:r w:rsidRPr="004248F3">
        <w:rPr>
          <w:rFonts w:asciiTheme="majorHAnsi" w:hAnsiTheme="majorHAnsi" w:cstheme="majorHAnsi"/>
        </w:rPr>
        <w:t xml:space="preserve"> places the legal sequence alongside the Green Deal and the EUDR. It is a chronological guide to </w:t>
      </w:r>
      <w:proofErr w:type="gramStart"/>
      <w:r w:rsidRPr="004248F3">
        <w:rPr>
          <w:rFonts w:asciiTheme="majorHAnsi" w:hAnsiTheme="majorHAnsi" w:cstheme="majorHAnsi"/>
        </w:rPr>
        <w:t>the overlapping</w:t>
      </w:r>
      <w:proofErr w:type="gramEnd"/>
      <w:r w:rsidRPr="004248F3">
        <w:rPr>
          <w:rFonts w:asciiTheme="majorHAnsi" w:hAnsiTheme="majorHAnsi" w:cstheme="majorHAnsi"/>
        </w:rPr>
        <w:t xml:space="preserve"> instruments, not evidence of their environmental effects.</w:t>
      </w:r>
    </w:p>
    <w:p w14:paraId="5C4BD8DF" w14:textId="77777777" w:rsidR="00164CBC" w:rsidRPr="004248F3" w:rsidRDefault="00000000" w:rsidP="004248F3">
      <w:pPr>
        <w:pStyle w:val="Descripcin"/>
        <w:rPr>
          <w:rFonts w:asciiTheme="majorHAnsi" w:hAnsiTheme="majorHAnsi" w:cstheme="majorHAnsi"/>
          <w:b w:val="0"/>
          <w:bCs w:val="0"/>
        </w:rPr>
      </w:pPr>
      <w:bookmarkStart w:id="0" w:name="_RefFigure1"/>
      <w:r w:rsidRPr="004248F3">
        <w:rPr>
          <w:rFonts w:asciiTheme="majorHAnsi" w:hAnsiTheme="majorHAnsi" w:cstheme="majorHAnsi"/>
          <w:b w:val="0"/>
          <w:bCs w:val="0"/>
        </w:rPr>
        <w:t xml:space="preserve">Figure </w:t>
      </w:r>
      <w:r w:rsidRPr="004248F3">
        <w:rPr>
          <w:rFonts w:asciiTheme="majorHAnsi" w:hAnsiTheme="majorHAnsi" w:cstheme="majorHAnsi"/>
          <w:b w:val="0"/>
          <w:bCs w:val="0"/>
        </w:rPr>
        <w:fldChar w:fldCharType="begin"/>
      </w:r>
      <w:r w:rsidRPr="004248F3">
        <w:rPr>
          <w:rFonts w:asciiTheme="majorHAnsi" w:hAnsiTheme="majorHAnsi" w:cstheme="majorHAnsi"/>
          <w:b w:val="0"/>
          <w:bCs w:val="0"/>
        </w:rPr>
        <w:instrText xml:space="preserve"> SEQ Figure \* ARABIC </w:instrText>
      </w:r>
      <w:r w:rsidRPr="004248F3">
        <w:rPr>
          <w:rFonts w:asciiTheme="majorHAnsi" w:hAnsiTheme="majorHAnsi" w:cstheme="majorHAnsi"/>
          <w:b w:val="0"/>
          <w:bCs w:val="0"/>
        </w:rPr>
        <w:fldChar w:fldCharType="separate"/>
      </w:r>
      <w:r w:rsidR="002A258E" w:rsidRPr="004248F3">
        <w:rPr>
          <w:rFonts w:asciiTheme="majorHAnsi" w:hAnsiTheme="majorHAnsi" w:cstheme="majorHAnsi"/>
          <w:b w:val="0"/>
          <w:bCs w:val="0"/>
        </w:rPr>
        <w:t>1</w:t>
      </w:r>
      <w:r w:rsidRPr="004248F3">
        <w:rPr>
          <w:rFonts w:asciiTheme="majorHAnsi" w:hAnsiTheme="majorHAnsi" w:cstheme="majorHAnsi"/>
          <w:b w:val="0"/>
          <w:bCs w:val="0"/>
        </w:rPr>
        <w:fldChar w:fldCharType="end"/>
      </w:r>
      <w:bookmarkEnd w:id="0"/>
      <w:r w:rsidRPr="004248F3">
        <w:rPr>
          <w:rFonts w:asciiTheme="majorHAnsi" w:hAnsiTheme="majorHAnsi" w:cstheme="majorHAnsi"/>
          <w:b w:val="0"/>
          <w:bCs w:val="0"/>
        </w:rPr>
        <w:t>. EU-Mercosur: negotiation, green commitments and implementation, 1999-2026</w:t>
      </w:r>
    </w:p>
    <w:p w14:paraId="64CBD666" w14:textId="77777777" w:rsidR="00164CBC" w:rsidRPr="004248F3" w:rsidRDefault="00000000">
      <w:pPr>
        <w:keepNext/>
        <w:keepLines/>
        <w:jc w:val="center"/>
        <w:rPr>
          <w:rFonts w:asciiTheme="majorHAnsi" w:hAnsiTheme="majorHAnsi" w:cstheme="majorHAnsi"/>
        </w:rPr>
      </w:pPr>
      <w:r w:rsidRPr="004248F3">
        <w:rPr>
          <w:rFonts w:asciiTheme="majorHAnsi" w:hAnsiTheme="majorHAnsi" w:cstheme="majorHAnsi"/>
          <w:noProof/>
        </w:rPr>
        <w:drawing>
          <wp:inline distT="0" distB="0" distL="0" distR="0" wp14:anchorId="4513C466" wp14:editId="6BF100AD">
            <wp:extent cx="5897880" cy="2298323"/>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897880" cy="2298323"/>
                    </a:xfrm>
                    <a:prstGeom prst="rect">
                      <a:avLst/>
                    </a:prstGeom>
                  </pic:spPr>
                </pic:pic>
              </a:graphicData>
            </a:graphic>
          </wp:inline>
        </w:drawing>
      </w:r>
    </w:p>
    <w:p w14:paraId="7AECFCC4" w14:textId="77777777" w:rsidR="00164CBC" w:rsidRPr="004248F3" w:rsidRDefault="00000000">
      <w:pPr>
        <w:pStyle w:val="Descripcin"/>
        <w:rPr>
          <w:rFonts w:asciiTheme="majorHAnsi" w:hAnsiTheme="majorHAnsi" w:cstheme="majorHAnsi"/>
          <w:b w:val="0"/>
          <w:bCs w:val="0"/>
          <w:i w:val="0"/>
          <w:iCs/>
          <w:color w:val="auto"/>
        </w:rPr>
      </w:pPr>
      <w:r w:rsidRPr="004248F3">
        <w:rPr>
          <w:rFonts w:asciiTheme="majorHAnsi" w:hAnsiTheme="majorHAnsi" w:cstheme="majorHAnsi"/>
          <w:b w:val="0"/>
          <w:bCs w:val="0"/>
          <w:i w:val="0"/>
          <w:iCs/>
          <w:color w:val="auto"/>
        </w:rPr>
        <w:t>Source: Authors' compilation from the European Parliament's negotiation history, European Commission agreement texts and chronology, Regulation (EU) 2023/1115, Albertoni and Schlegelmilch (2026), and Cesar de Oliveira et al. (2024).</w:t>
      </w:r>
    </w:p>
    <w:p w14:paraId="70A9D2C0" w14:textId="77777777" w:rsidR="00EF6CF4" w:rsidRPr="004248F3" w:rsidRDefault="00EF6CF4" w:rsidP="00EF6CF4">
      <w:pPr>
        <w:pStyle w:val="Ttulo2"/>
        <w:rPr>
          <w:rFonts w:cstheme="majorHAnsi"/>
        </w:rPr>
      </w:pPr>
      <w:r w:rsidRPr="004248F3">
        <w:rPr>
          <w:rFonts w:cstheme="majorHAnsi"/>
        </w:rPr>
        <w:lastRenderedPageBreak/>
        <w:t>The revised sustainability architecture strengthened commitments but left enforcement incomplete</w:t>
      </w:r>
    </w:p>
    <w:p w14:paraId="3E07112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sustainability chapter should next be read as both a substantive revision and a response to a legitimacy problem. The Commission presents the 2024 outcome as containing stronger commitments on sustainable development, implementation of the Paris Agreement and action against deforestation. The revised framework treats the Paris Agreement as an essential element and commits the parties to </w:t>
      </w:r>
      <w:proofErr w:type="gramStart"/>
      <w:r w:rsidRPr="004248F3">
        <w:rPr>
          <w:rFonts w:asciiTheme="majorHAnsi" w:hAnsiTheme="majorHAnsi" w:cstheme="majorHAnsi"/>
        </w:rPr>
        <w:t>addressing</w:t>
      </w:r>
      <w:proofErr w:type="gramEnd"/>
      <w:r w:rsidRPr="004248F3">
        <w:rPr>
          <w:rFonts w:asciiTheme="majorHAnsi" w:hAnsiTheme="majorHAnsi" w:cstheme="majorHAnsi"/>
        </w:rPr>
        <w:t xml:space="preserve"> deforestation. It also allows formal government consultations to be followed by an independent panel of experts whose report is made public (European Commission 2026c).</w:t>
      </w:r>
    </w:p>
    <w:p w14:paraId="3029D35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These provisions are more than symbolic additions. Essential-element status raises the significance of climate commitments beyond a general aspirational reference. The deforestation language responds directly to the agreement’s most visible criticism, while the expert-panel procedure creates a route for investigation, publicity and institutional follow-up. The 2024 text is therefore not simply a repackaging of the 2019 outcome. It reflects pressure generated by climate politics, civil-society scrutiny and internal European contestation.</w:t>
      </w:r>
    </w:p>
    <w:p w14:paraId="4F9CB593"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Stronger drafting, however, does not create a complete enforcement chain. An expert panel can evaluate conduct, interpret obligations and issue recommendations, but it does not automatically impose trade sanctions or alter production systems. Essential-element status can increase political leverage, yet it does not determine how responsibility will be measured or compliance financed. A commitment to combat deforestation likewise does not specify who must collect geolocation data, verify origin, maintain traceability systems or absorb the resulting costs.</w:t>
      </w:r>
    </w:p>
    <w:p w14:paraId="49EE9880"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architecture must therefore be read in two registers. It gives the agreement a stronger normative profile and clearer language of climate responsibility, but the path from obligation to </w:t>
      </w:r>
      <w:proofErr w:type="spellStart"/>
      <w:r w:rsidRPr="004248F3">
        <w:rPr>
          <w:rFonts w:asciiTheme="majorHAnsi" w:hAnsiTheme="majorHAnsi" w:cstheme="majorHAnsi"/>
        </w:rPr>
        <w:t>behavioural</w:t>
      </w:r>
      <w:proofErr w:type="spellEnd"/>
      <w:r w:rsidRPr="004248F3">
        <w:rPr>
          <w:rFonts w:asciiTheme="majorHAnsi" w:hAnsiTheme="majorHAnsi" w:cstheme="majorHAnsi"/>
        </w:rPr>
        <w:t xml:space="preserve"> change remains mediated by evidence, administrative capacity, domestic institutions and political willingness. This gap does not make the provisions meaningless. It shows that legal inclusion and practical effect are different analytical questions.</w:t>
      </w:r>
    </w:p>
    <w:p w14:paraId="615D470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2020 Sustainability Impact Assessment illustrates the same distinction. It examined possible economic, social, environmental</w:t>
      </w:r>
      <w:r w:rsidR="000035EF" w:rsidRPr="004248F3">
        <w:rPr>
          <w:rFonts w:asciiTheme="majorHAnsi" w:hAnsiTheme="majorHAnsi" w:cstheme="majorHAnsi"/>
        </w:rPr>
        <w:t>, and human rights</w:t>
      </w:r>
      <w:r w:rsidRPr="004248F3">
        <w:rPr>
          <w:rFonts w:asciiTheme="majorHAnsi" w:hAnsiTheme="majorHAnsi" w:cstheme="majorHAnsi"/>
        </w:rPr>
        <w:t xml:space="preserve"> effects through hypothetical scenarios, and the Commission noted that neither scenario corresponded exactly to the negotiated outcome (European Commission 2020). Its findings were projections rather than observed results. The modelling anticipated gains in selected sectors and concluded, under its assumptions, that the agreement would have no effect on global greenhouse-gas emissions.</w:t>
      </w:r>
    </w:p>
    <w:p w14:paraId="5279EFC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That conclusion requires caution. The model offered decision-makers a structured account of tariff effects, sectoral change and emissions intensity, but it could not fully incorporate uneven enforcement, contested land governance or political resistance. The assessment itself acknowledged that deforestation outcomes depend on </w:t>
      </w:r>
      <w:r w:rsidR="000035EF" w:rsidRPr="004248F3">
        <w:rPr>
          <w:rFonts w:asciiTheme="majorHAnsi" w:hAnsiTheme="majorHAnsi" w:cstheme="majorHAnsi"/>
        </w:rPr>
        <w:t>the adoption and enforcement of</w:t>
      </w:r>
      <w:r w:rsidRPr="004248F3">
        <w:rPr>
          <w:rFonts w:asciiTheme="majorHAnsi" w:hAnsiTheme="majorHAnsi" w:cstheme="majorHAnsi"/>
        </w:rPr>
        <w:t xml:space="preserve"> appropriate environmental policies. The green character of the agreement consequently rests on a policy </w:t>
      </w:r>
      <w:r w:rsidR="000035EF" w:rsidRPr="004248F3">
        <w:rPr>
          <w:rFonts w:asciiTheme="majorHAnsi" w:hAnsiTheme="majorHAnsi" w:cstheme="majorHAnsi"/>
        </w:rPr>
        <w:t>framework that extends</w:t>
      </w:r>
      <w:r w:rsidRPr="004248F3">
        <w:rPr>
          <w:rFonts w:asciiTheme="majorHAnsi" w:hAnsiTheme="majorHAnsi" w:cstheme="majorHAnsi"/>
        </w:rPr>
        <w:t xml:space="preserve"> well beyond the treaty.</w:t>
      </w:r>
    </w:p>
    <w:p w14:paraId="2AF01C7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Harrison and Paulini (2024) identify a deeper structural problem. They argue that the EU model tends to place environmental and development questions in impact assessments and Trade and Sustainable Development chapters while leaving the commercial core relatively insulated. Risks may be catalogued</w:t>
      </w:r>
      <w:r w:rsidR="000035EF" w:rsidRPr="004248F3">
        <w:rPr>
          <w:rFonts w:asciiTheme="majorHAnsi" w:hAnsiTheme="majorHAnsi" w:cstheme="majorHAnsi"/>
        </w:rPr>
        <w:t>,</w:t>
      </w:r>
      <w:r w:rsidRPr="004248F3">
        <w:rPr>
          <w:rFonts w:asciiTheme="majorHAnsi" w:hAnsiTheme="majorHAnsi" w:cstheme="majorHAnsi"/>
        </w:rPr>
        <w:t xml:space="preserve"> </w:t>
      </w:r>
      <w:r w:rsidRPr="004248F3">
        <w:rPr>
          <w:rFonts w:asciiTheme="majorHAnsi" w:hAnsiTheme="majorHAnsi" w:cstheme="majorHAnsi"/>
        </w:rPr>
        <w:lastRenderedPageBreak/>
        <w:t xml:space="preserve">and dialogue </w:t>
      </w:r>
      <w:proofErr w:type="spellStart"/>
      <w:r w:rsidRPr="004248F3">
        <w:rPr>
          <w:rFonts w:asciiTheme="majorHAnsi" w:hAnsiTheme="majorHAnsi" w:cstheme="majorHAnsi"/>
        </w:rPr>
        <w:t>institutionalised</w:t>
      </w:r>
      <w:proofErr w:type="spellEnd"/>
      <w:r w:rsidRPr="004248F3">
        <w:rPr>
          <w:rFonts w:asciiTheme="majorHAnsi" w:hAnsiTheme="majorHAnsi" w:cstheme="majorHAnsi"/>
        </w:rPr>
        <w:t xml:space="preserve"> without altering tariff schedules or the distribution of market-opening commitments. Their emphasis on planetary boundaries and socio-economic equality establishes a more demanding benchmark: sustainability should shape trade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xml:space="preserve"> rather than merely accompany it.</w:t>
      </w:r>
    </w:p>
    <w:p w14:paraId="58805758" w14:textId="77777777" w:rsidR="00EF6CF4" w:rsidRPr="004248F3" w:rsidRDefault="00EF6CF4" w:rsidP="00EF6CF4">
      <w:pPr>
        <w:pStyle w:val="Ttulo2"/>
        <w:rPr>
          <w:rFonts w:cstheme="majorHAnsi"/>
        </w:rPr>
      </w:pPr>
      <w:r w:rsidRPr="004248F3">
        <w:rPr>
          <w:rFonts w:cstheme="majorHAnsi"/>
        </w:rPr>
        <w:t xml:space="preserve">Deforestation and land-use politics expose the material limits of </w:t>
      </w:r>
      <w:proofErr w:type="spellStart"/>
      <w:r w:rsidRPr="004248F3">
        <w:rPr>
          <w:rFonts w:cstheme="majorHAnsi"/>
        </w:rPr>
        <w:t>externalisation</w:t>
      </w:r>
      <w:proofErr w:type="spellEnd"/>
    </w:p>
    <w:p w14:paraId="4EA3B691"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agreement’s most difficult environmental issue is not the wording of the sustainability chapter but the relationship between trade, agricultural expansion and land-use change. The EU imports agricultural commodities from Mercosur, while Mercosur governments seek to protect or expand sectors central to employment, exports and domestic coalitions. Land-use change is therefore not an external problem that can be corrected by adding an environmental clause. It is connected to the material structure of the trade relationship.</w:t>
      </w:r>
    </w:p>
    <w:p w14:paraId="799FAC38" w14:textId="77777777" w:rsidR="00EF6CF4" w:rsidRPr="004248F3" w:rsidRDefault="00EF6CF4" w:rsidP="00EF6CF4">
      <w:pPr>
        <w:rPr>
          <w:rFonts w:asciiTheme="majorHAnsi" w:hAnsiTheme="majorHAnsi" w:cstheme="majorHAnsi"/>
        </w:rPr>
      </w:pPr>
      <w:r w:rsidRPr="004248F3">
        <w:rPr>
          <w:rFonts w:asciiTheme="majorHAnsi" w:hAnsiTheme="majorHAnsi" w:cstheme="majorHAnsi"/>
          <w:lang w:val="es-ES"/>
        </w:rPr>
        <w:t xml:space="preserve">Cesar de Oliveira et al. </w:t>
      </w:r>
      <w:r w:rsidRPr="004248F3">
        <w:rPr>
          <w:rFonts w:asciiTheme="majorHAnsi" w:hAnsiTheme="majorHAnsi" w:cstheme="majorHAnsi"/>
        </w:rPr>
        <w:t xml:space="preserve">(2024) </w:t>
      </w:r>
      <w:proofErr w:type="gramStart"/>
      <w:r w:rsidRPr="004248F3">
        <w:rPr>
          <w:rFonts w:asciiTheme="majorHAnsi" w:hAnsiTheme="majorHAnsi" w:cstheme="majorHAnsi"/>
        </w:rPr>
        <w:t>show</w:t>
      </w:r>
      <w:proofErr w:type="gramEnd"/>
      <w:r w:rsidRPr="004248F3">
        <w:rPr>
          <w:rFonts w:asciiTheme="majorHAnsi" w:hAnsiTheme="majorHAnsi" w:cstheme="majorHAnsi"/>
        </w:rPr>
        <w:t xml:space="preserve"> that EU agri-food imports are linked to land conversion in Brazil and argue that the agreement’s potential effects must be assessed within a wider governance system. Their analysis does not treat the agreement as a direct instrument of deforestation. It presents it as a </w:t>
      </w:r>
      <w:r w:rsidR="000035EF" w:rsidRPr="004248F3">
        <w:rPr>
          <w:rFonts w:asciiTheme="majorHAnsi" w:hAnsiTheme="majorHAnsi" w:cstheme="majorHAnsi"/>
        </w:rPr>
        <w:t xml:space="preserve">potential platform for cooperation, the effectiveness of which </w:t>
      </w:r>
      <w:r w:rsidRPr="004248F3">
        <w:rPr>
          <w:rFonts w:asciiTheme="majorHAnsi" w:hAnsiTheme="majorHAnsi" w:cstheme="majorHAnsi"/>
        </w:rPr>
        <w:t>depends on institutions outside the treaty. A trade agreement may contribute to environmental governance without controlling commodity prices, domestic land policy, enforcement agencies or producer incentives.</w:t>
      </w:r>
    </w:p>
    <w:p w14:paraId="7D9ECE7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interaction between the agreement and the EU Deforestation Regulation further complicates the picture. Regulation (EU) 2023/1115 imposes deforestation-free and due-diligence conditions on specified products entering the EU market. Legally, the EUDR is separate from the Mercosur agreement, but producers and public authorities encounter the two as overlapping components of the same market-access environment. One instrument </w:t>
      </w:r>
      <w:proofErr w:type="spellStart"/>
      <w:r w:rsidRPr="004248F3">
        <w:rPr>
          <w:rFonts w:asciiTheme="majorHAnsi" w:hAnsiTheme="majorHAnsi" w:cstheme="majorHAnsi"/>
        </w:rPr>
        <w:t>liberalises</w:t>
      </w:r>
      <w:proofErr w:type="spellEnd"/>
      <w:r w:rsidRPr="004248F3">
        <w:rPr>
          <w:rFonts w:asciiTheme="majorHAnsi" w:hAnsiTheme="majorHAnsi" w:cstheme="majorHAnsi"/>
        </w:rPr>
        <w:t xml:space="preserve"> trade</w:t>
      </w:r>
      <w:r w:rsidR="000035EF" w:rsidRPr="004248F3">
        <w:rPr>
          <w:rFonts w:asciiTheme="majorHAnsi" w:hAnsiTheme="majorHAnsi" w:cstheme="majorHAnsi"/>
        </w:rPr>
        <w:t xml:space="preserve">, while the other conditions </w:t>
      </w:r>
      <w:proofErr w:type="gramStart"/>
      <w:r w:rsidR="000035EF" w:rsidRPr="004248F3">
        <w:rPr>
          <w:rFonts w:asciiTheme="majorHAnsi" w:hAnsiTheme="majorHAnsi" w:cstheme="majorHAnsi"/>
        </w:rPr>
        <w:t>access</w:t>
      </w:r>
      <w:proofErr w:type="gramEnd"/>
      <w:r w:rsidR="000035EF" w:rsidRPr="004248F3">
        <w:rPr>
          <w:rFonts w:asciiTheme="majorHAnsi" w:hAnsiTheme="majorHAnsi" w:cstheme="majorHAnsi"/>
        </w:rPr>
        <w:t xml:space="preserve"> based on evidence of</w:t>
      </w:r>
      <w:r w:rsidRPr="004248F3">
        <w:rPr>
          <w:rFonts w:asciiTheme="majorHAnsi" w:hAnsiTheme="majorHAnsi" w:cstheme="majorHAnsi"/>
        </w:rPr>
        <w:t xml:space="preserve"> production location and land-use history.</w:t>
      </w:r>
    </w:p>
    <w:p w14:paraId="50646BD9"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Fuchs et al. (2024) identify loopholes and displacement risks in this combined framework. Controls on products destined for the EU may redirect land-intensive production or trade towards other markets, while commodity coverage and traceability requirements may leave parts of the land-use system outside scrutiny. This does not show that the EUDR causes deforestation. It demonstrates that market-specific regulation can alter trade routes without eliminating incentives driving land conversion.</w:t>
      </w:r>
    </w:p>
    <w:p w14:paraId="378A46F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material limit of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clear. The EU can regulate entry into its market, attach conditions to access and create incentives for traceability. It cannot determine land-use priorities in Brazil, Argentina, Paraguay or Uruguay through trade law alone. European requirements operate alongside domestic property regimes, enforcement capacity, commodity prices, producer strategies and alternative export markets.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changes incentives without controlling the entire causal chain.</w:t>
      </w:r>
    </w:p>
    <w:p w14:paraId="4ED1311F"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distribution of compliance costs is equally important. Due diligence requires plot-level information, production histories, legal documentation</w:t>
      </w:r>
      <w:r w:rsidR="000035EF" w:rsidRPr="004248F3">
        <w:rPr>
          <w:rFonts w:asciiTheme="majorHAnsi" w:hAnsiTheme="majorHAnsi" w:cstheme="majorHAnsi"/>
        </w:rPr>
        <w:t>, and traceable supply chain relationships</w:t>
      </w:r>
      <w:r w:rsidRPr="004248F3">
        <w:rPr>
          <w:rFonts w:asciiTheme="majorHAnsi" w:hAnsiTheme="majorHAnsi" w:cstheme="majorHAnsi"/>
        </w:rPr>
        <w:t xml:space="preserve">. Large exporters may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these systems more easily, whereas smallholders and smaller intermediaries may struggle. If verification costs move down the supply chain, the market may become more transparent but less inclusive. A sustainability regime can improve environmental evidence while intensifying inequality among producers.</w:t>
      </w:r>
    </w:p>
    <w:p w14:paraId="4A563F5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This asymmetry also affects the legitimacy of European regulation. The EU can demand faster changes in data systems, monitoring</w:t>
      </w:r>
      <w:r w:rsidR="000035EF" w:rsidRPr="004248F3">
        <w:rPr>
          <w:rFonts w:asciiTheme="majorHAnsi" w:hAnsiTheme="majorHAnsi" w:cstheme="majorHAnsi"/>
        </w:rPr>
        <w:t>, and production practices than it provides finance, technology,</w:t>
      </w:r>
      <w:r w:rsidRPr="004248F3">
        <w:rPr>
          <w:rFonts w:asciiTheme="majorHAnsi" w:hAnsiTheme="majorHAnsi" w:cstheme="majorHAnsi"/>
        </w:rPr>
        <w:t xml:space="preserve"> or administrative </w:t>
      </w:r>
      <w:r w:rsidRPr="004248F3">
        <w:rPr>
          <w:rFonts w:asciiTheme="majorHAnsi" w:hAnsiTheme="majorHAnsi" w:cstheme="majorHAnsi"/>
        </w:rPr>
        <w:lastRenderedPageBreak/>
        <w:t xml:space="preserve">support. Compliance then becomes a condition of access rather than a jointly financed transition. The conflict concerns not only </w:t>
      </w:r>
      <w:proofErr w:type="gramStart"/>
      <w:r w:rsidRPr="004248F3">
        <w:rPr>
          <w:rFonts w:asciiTheme="majorHAnsi" w:hAnsiTheme="majorHAnsi" w:cstheme="majorHAnsi"/>
        </w:rPr>
        <w:t>sovereignty</w:t>
      </w:r>
      <w:proofErr w:type="gramEnd"/>
      <w:r w:rsidRPr="004248F3">
        <w:rPr>
          <w:rFonts w:asciiTheme="majorHAnsi" w:hAnsiTheme="majorHAnsi" w:cstheme="majorHAnsi"/>
        </w:rPr>
        <w:t xml:space="preserve"> but who bears the costs of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and whether environmental objectives are pursued through capacity-building or unilateral market discipline.</w:t>
      </w:r>
    </w:p>
    <w:p w14:paraId="69C9A91A" w14:textId="77777777" w:rsidR="00EF6CF4" w:rsidRPr="004248F3" w:rsidRDefault="00EF6CF4" w:rsidP="00EF6CF4">
      <w:pPr>
        <w:pStyle w:val="Ttulo2"/>
        <w:rPr>
          <w:rFonts w:cstheme="majorHAnsi"/>
        </w:rPr>
      </w:pPr>
      <w:r w:rsidRPr="004248F3">
        <w:rPr>
          <w:rFonts w:cstheme="majorHAnsi"/>
        </w:rPr>
        <w:t>The Green Deal turned Mercosur into a test of the EU’s external credibility</w:t>
      </w:r>
    </w:p>
    <w:p w14:paraId="78692DDF"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final step is to explain why Mercosur became a credibility crisis for the European Green Deal. The 2019 Green Deal presented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as a growth strategy intended to create a resource-efficient, competitive economy and achieve climate neutrality by 2050 (European Commission 2019). Once the EU adopted this framework, its trade policy was judged against a stronger expectation of coherence between internal transformation and external market opening.</w:t>
      </w:r>
    </w:p>
    <w:p w14:paraId="7611C5A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Green Deal created </w:t>
      </w:r>
      <w:proofErr w:type="gramStart"/>
      <w:r w:rsidRPr="004248F3">
        <w:rPr>
          <w:rFonts w:asciiTheme="majorHAnsi" w:hAnsiTheme="majorHAnsi" w:cstheme="majorHAnsi"/>
        </w:rPr>
        <w:t>a double</w:t>
      </w:r>
      <w:proofErr w:type="gramEnd"/>
      <w:r w:rsidRPr="004248F3">
        <w:rPr>
          <w:rFonts w:asciiTheme="majorHAnsi" w:hAnsiTheme="majorHAnsi" w:cstheme="majorHAnsi"/>
        </w:rPr>
        <w:t xml:space="preserve"> pressure. It gave the EU a stronger normative basis for demanding environmental commitments from partners, but it also </w:t>
      </w:r>
      <w:r w:rsidR="000035EF" w:rsidRPr="004248F3">
        <w:rPr>
          <w:rFonts w:asciiTheme="majorHAnsi" w:hAnsiTheme="majorHAnsi" w:cstheme="majorHAnsi"/>
        </w:rPr>
        <w:t>provided domestic actors with a language to challenge agreements that appeared</w:t>
      </w:r>
      <w:r w:rsidRPr="004248F3">
        <w:rPr>
          <w:rFonts w:asciiTheme="majorHAnsi" w:hAnsiTheme="majorHAnsi" w:cstheme="majorHAnsi"/>
        </w:rPr>
        <w:t xml:space="preserve"> inconsistent with European climate objectives. The same framework that increased external leverage intensified internal scrutiny. Mercosur became symbolically important because agricultural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forest protection</w:t>
      </w:r>
      <w:r w:rsidR="000035EF" w:rsidRPr="004248F3">
        <w:rPr>
          <w:rFonts w:asciiTheme="majorHAnsi" w:hAnsiTheme="majorHAnsi" w:cstheme="majorHAnsi"/>
        </w:rPr>
        <w:t>, and climate leadership converged in a single</w:t>
      </w:r>
      <w:r w:rsidRPr="004248F3">
        <w:rPr>
          <w:rFonts w:asciiTheme="majorHAnsi" w:hAnsiTheme="majorHAnsi" w:cstheme="majorHAnsi"/>
        </w:rPr>
        <w:t xml:space="preserve"> agreement.</w:t>
      </w:r>
    </w:p>
    <w:p w14:paraId="22D7E159"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Supporters argued that the agreement could provide a platform for cooperation, regulatory dialogue and improved environmental governance. Critics countered that greater access </w:t>
      </w:r>
      <w:proofErr w:type="gramStart"/>
      <w:r w:rsidRPr="004248F3">
        <w:rPr>
          <w:rFonts w:asciiTheme="majorHAnsi" w:hAnsiTheme="majorHAnsi" w:cstheme="majorHAnsi"/>
        </w:rPr>
        <w:t>for</w:t>
      </w:r>
      <w:proofErr w:type="gramEnd"/>
      <w:r w:rsidRPr="004248F3">
        <w:rPr>
          <w:rFonts w:asciiTheme="majorHAnsi" w:hAnsiTheme="majorHAnsi" w:cstheme="majorHAnsi"/>
        </w:rPr>
        <w:t xml:space="preserve"> agricultural commodities could intensify pressures on forests and land. The dispute was therefore not simply about whether the text contained environmental provisions. It concerned whether market integration and ecological transformation could be pursued through the same institutional design.</w:t>
      </w:r>
    </w:p>
    <w:p w14:paraId="4EECD2C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Lima, Pires and Resende (2026) argue that the agreement promotes green practices while remaining constrained by limited enforcement and local implementation capacity. Their analysis is secondary rather than legally authoritative, but it identifies the recurring problem: the EU can strengthen agreement language more easily than it can create the domestic institutions, financing arrangements and producer capacities required for implementation.</w:t>
      </w:r>
    </w:p>
    <w:p w14:paraId="6E5FB02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2024 conclusion should consequently be understood as a layered compromise. It combines market opening with stronger </w:t>
      </w:r>
      <w:r w:rsidR="000052D7" w:rsidRPr="004248F3">
        <w:rPr>
          <w:rFonts w:asciiTheme="majorHAnsi" w:hAnsiTheme="majorHAnsi" w:cstheme="majorHAnsi"/>
        </w:rPr>
        <w:t>language on climate and deforestation, explanatory materials,</w:t>
      </w:r>
      <w:r w:rsidRPr="004248F3">
        <w:rPr>
          <w:rFonts w:asciiTheme="majorHAnsi" w:hAnsiTheme="majorHAnsi" w:cstheme="majorHAnsi"/>
        </w:rPr>
        <w:t xml:space="preserve"> and new implementation procedures. Yet it leaves unresolved who finances compliance, how data are shared, how affected communities participate and what happens when recommendations do not produce change.</w:t>
      </w:r>
    </w:p>
    <w:p w14:paraId="67F6A6E8"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 xml:space="preserve">Mercosur is empirically heavier than the Andean case because the negotiation itself became part of the controversy, deforestation supplied an emblematic environmental conflict, and the agreement directly connected the EU’s external trade ambitions to its internal agricultural and climate politics. The case reveals that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most contested when the Union extends regulatory expectations without extending equivalent financial and administrative support. The agreement is greener in legal form, but its ecological credibility will depend on whether implementation changes incentives and practices rather than merely strengthening the language </w:t>
      </w:r>
      <w:r w:rsidR="000052D7" w:rsidRPr="004248F3">
        <w:rPr>
          <w:rFonts w:asciiTheme="majorHAnsi" w:hAnsiTheme="majorHAnsi" w:cstheme="majorHAnsi"/>
        </w:rPr>
        <w:t>used to discuss them</w:t>
      </w:r>
      <w:r w:rsidRPr="004248F3">
        <w:rPr>
          <w:rFonts w:asciiTheme="majorHAnsi" w:hAnsiTheme="majorHAnsi" w:cstheme="majorHAnsi"/>
        </w:rPr>
        <w:t>.</w:t>
      </w:r>
    </w:p>
    <w:p w14:paraId="7C6DF628" w14:textId="77777777" w:rsidR="008E28CD" w:rsidRPr="004248F3" w:rsidRDefault="00000000">
      <w:pPr>
        <w:pStyle w:val="Ttulo1"/>
        <w:rPr>
          <w:rFonts w:cstheme="majorHAnsi"/>
        </w:rPr>
      </w:pPr>
      <w:r w:rsidRPr="004248F3">
        <w:rPr>
          <w:rFonts w:cstheme="majorHAnsi"/>
        </w:rPr>
        <w:lastRenderedPageBreak/>
        <w:t xml:space="preserve">Cross-case analysis: asymmetric greening and </w:t>
      </w:r>
      <w:r w:rsidR="009F5E07" w:rsidRPr="004248F3">
        <w:rPr>
          <w:rFonts w:cstheme="majorHAnsi"/>
        </w:rPr>
        <w:t xml:space="preserve">the fragmented </w:t>
      </w:r>
      <w:proofErr w:type="spellStart"/>
      <w:r w:rsidR="009F5E07" w:rsidRPr="004248F3">
        <w:rPr>
          <w:rFonts w:cstheme="majorHAnsi"/>
        </w:rPr>
        <w:t>externalisation</w:t>
      </w:r>
      <w:proofErr w:type="spellEnd"/>
      <w:r w:rsidR="009F5E07" w:rsidRPr="004248F3">
        <w:rPr>
          <w:rFonts w:cstheme="majorHAnsi"/>
        </w:rPr>
        <w:t xml:space="preserve"> of EU sustainability rules</w:t>
      </w:r>
    </w:p>
    <w:p w14:paraId="2189619B"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comparison between the EU–Andean and EU–Mercosur agreements first </w:t>
      </w:r>
      <w:proofErr w:type="gramStart"/>
      <w:r w:rsidRPr="004248F3">
        <w:rPr>
          <w:rFonts w:asciiTheme="majorHAnsi" w:hAnsiTheme="majorHAnsi" w:cstheme="majorHAnsi"/>
        </w:rPr>
        <w:t>shows</w:t>
      </w:r>
      <w:proofErr w:type="gramEnd"/>
      <w:r w:rsidRPr="004248F3">
        <w:rPr>
          <w:rFonts w:asciiTheme="majorHAnsi" w:hAnsiTheme="majorHAnsi" w:cstheme="majorHAnsi"/>
        </w:rPr>
        <w:t xml:space="preserve"> that similar sustainability provisions can perform markedly different political functions. Both arrangements connect market opening to environmental and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commitments, establish institutional procedures and extend European regulatory expectations beyond the Union. Their practical meaning, however, depends on the political-economic setting in which those instruments operate. In the Andean case, sustainability has been incorporated into routine implementation, committee dialogue, annual reporting and ex post evaluation. In Mercosur, comparable language became part of a highly contested bargaining process involving agriculture, land use, sovereignty, geopolitical positioning and the credibility of European climate policy.</w:t>
      </w:r>
    </w:p>
    <w:p w14:paraId="2E724190"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This variation cautions against treating the existence of a Trade and Sustainable Development chapter as evidence of equivalent integration. Such chapters can increase the density of relations, create channels for participation and make environmental questions more visible within trade governance. Yet their capacity to alter production depends on domestic enforcement, reliable information, administrative resources and the political willingness to act on evidence of non-compliance. The common EU template therefore produces differentiated forms of integration because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encounters unequal institutions, economic structures and levels of public contestation.</w:t>
      </w:r>
    </w:p>
    <w:p w14:paraId="704A0B60"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Andean agreement reveals the procedural form of this process. Its sustainability commitments are </w:t>
      </w:r>
      <w:proofErr w:type="spellStart"/>
      <w:r w:rsidRPr="004248F3">
        <w:rPr>
          <w:rFonts w:asciiTheme="majorHAnsi" w:hAnsiTheme="majorHAnsi" w:cstheme="majorHAnsi"/>
        </w:rPr>
        <w:t>stabilised</w:t>
      </w:r>
      <w:proofErr w:type="spellEnd"/>
      <w:r w:rsidRPr="004248F3">
        <w:rPr>
          <w:rFonts w:asciiTheme="majorHAnsi" w:hAnsiTheme="majorHAnsi" w:cstheme="majorHAnsi"/>
        </w:rPr>
        <w:t xml:space="preserve"> through recurring administrative practices that can support learning and gradual adjustment. The agreement has created an institutional vocabulary for discussing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inspection, environmental protection, participation and implementation capacity. Nevertheless, the presence of committees and evaluations does not establish that extractive or export-oriented production structures have been transformed. Procedural density is evidence of governance, but not necessarily of ecological or distributive change.</w:t>
      </w:r>
    </w:p>
    <w:p w14:paraId="63A3487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Mercosur reveals the more </w:t>
      </w:r>
      <w:proofErr w:type="gramStart"/>
      <w:r w:rsidRPr="004248F3">
        <w:rPr>
          <w:rFonts w:asciiTheme="majorHAnsi" w:hAnsiTheme="majorHAnsi" w:cstheme="majorHAnsi"/>
        </w:rPr>
        <w:t>openly</w:t>
      </w:r>
      <w:proofErr w:type="gramEnd"/>
      <w:r w:rsidRPr="004248F3">
        <w:rPr>
          <w:rFonts w:asciiTheme="majorHAnsi" w:hAnsiTheme="majorHAnsi" w:cstheme="majorHAnsi"/>
        </w:rPr>
        <w:t xml:space="preserve"> political form. Stronger </w:t>
      </w:r>
      <w:r w:rsidR="000052D7" w:rsidRPr="004248F3">
        <w:rPr>
          <w:rFonts w:asciiTheme="majorHAnsi" w:hAnsiTheme="majorHAnsi" w:cstheme="majorHAnsi"/>
        </w:rPr>
        <w:t>language on climate and deforestation became necessary, in part,</w:t>
      </w:r>
      <w:r w:rsidRPr="004248F3">
        <w:rPr>
          <w:rFonts w:asciiTheme="majorHAnsi" w:hAnsiTheme="majorHAnsi" w:cstheme="majorHAnsi"/>
        </w:rPr>
        <w:t xml:space="preserve"> because the agreement faced a legitimacy crisis. Environmental provisions helped </w:t>
      </w:r>
      <w:r w:rsidR="000052D7" w:rsidRPr="004248F3">
        <w:rPr>
          <w:rFonts w:asciiTheme="majorHAnsi" w:hAnsiTheme="majorHAnsi" w:cstheme="majorHAnsi"/>
        </w:rPr>
        <w:t>achieve political closure by addressing</w:t>
      </w:r>
      <w:r w:rsidRPr="004248F3">
        <w:rPr>
          <w:rFonts w:asciiTheme="majorHAnsi" w:hAnsiTheme="majorHAnsi" w:cstheme="majorHAnsi"/>
        </w:rPr>
        <w:t xml:space="preserve"> criticism and allowing the parties to present market opening as compatible with climate commitments. Those provisions may have substantive effects, but their inclusion does not resolve the agricultural and land-use conflicts embedded in the commercial relationship. The comparison therefore shifts attention from whether sustainability language exists to what institutional and political work it performs.</w:t>
      </w:r>
    </w:p>
    <w:p w14:paraId="0A1F573F" w14:textId="5CE67881" w:rsidR="00164CBC" w:rsidRPr="004248F3" w:rsidRDefault="00000000">
      <w:pPr>
        <w:rPr>
          <w:rFonts w:asciiTheme="majorHAnsi" w:hAnsiTheme="majorHAnsi" w:cstheme="majorHAnsi"/>
        </w:rPr>
      </w:pPr>
      <w:r w:rsidRPr="004248F3">
        <w:rPr>
          <w:rFonts w:asciiTheme="majorHAnsi" w:hAnsiTheme="majorHAnsi" w:cstheme="majorHAnsi"/>
        </w:rPr>
        <w:fldChar w:fldCharType="begin"/>
      </w:r>
      <w:r w:rsidRPr="004248F3">
        <w:rPr>
          <w:rFonts w:asciiTheme="majorHAnsi" w:hAnsiTheme="majorHAnsi" w:cstheme="majorHAnsi"/>
        </w:rPr>
        <w:instrText xml:space="preserve"> REF _RefTable1 \h </w:instrText>
      </w:r>
      <w:r w:rsidRPr="004248F3">
        <w:rPr>
          <w:rFonts w:asciiTheme="majorHAnsi" w:hAnsiTheme="majorHAnsi" w:cstheme="majorHAnsi"/>
        </w:rPr>
      </w:r>
      <w:r w:rsidR="004248F3">
        <w:rPr>
          <w:rFonts w:asciiTheme="majorHAnsi" w:hAnsiTheme="majorHAnsi" w:cstheme="majorHAnsi"/>
        </w:rPr>
        <w:instrText xml:space="preserve"> \* MERGEFORMAT </w:instrText>
      </w:r>
      <w:r w:rsidRPr="004248F3">
        <w:rPr>
          <w:rFonts w:asciiTheme="majorHAnsi" w:hAnsiTheme="majorHAnsi" w:cstheme="majorHAnsi"/>
        </w:rPr>
        <w:fldChar w:fldCharType="separate"/>
      </w:r>
      <w:r w:rsidR="002A258E" w:rsidRPr="004248F3">
        <w:rPr>
          <w:rFonts w:asciiTheme="majorHAnsi" w:hAnsiTheme="majorHAnsi" w:cstheme="majorHAnsi"/>
        </w:rPr>
        <w:t xml:space="preserve">Table </w:t>
      </w:r>
      <w:r w:rsidR="002A258E" w:rsidRPr="004248F3">
        <w:rPr>
          <w:rFonts w:asciiTheme="majorHAnsi" w:hAnsiTheme="majorHAnsi" w:cstheme="majorHAnsi"/>
          <w:noProof/>
        </w:rPr>
        <w:t>1</w:t>
      </w:r>
      <w:r w:rsidRPr="004248F3">
        <w:rPr>
          <w:rFonts w:asciiTheme="majorHAnsi" w:hAnsiTheme="majorHAnsi" w:cstheme="majorHAnsi"/>
        </w:rPr>
        <w:fldChar w:fldCharType="end"/>
      </w:r>
      <w:r w:rsidRPr="004248F3">
        <w:rPr>
          <w:rFonts w:asciiTheme="majorHAnsi" w:hAnsiTheme="majorHAnsi" w:cstheme="majorHAnsi"/>
        </w:rPr>
        <w:t xml:space="preserve"> compares the institutional design of the two agreements before the analysis turns to asymmetric greening. It distinguishes ordinary TSD procedures from the separate essential-elements clause in the Mercosur agreement.</w:t>
      </w:r>
    </w:p>
    <w:p w14:paraId="6F62BBD7" w14:textId="77777777" w:rsidR="00164CBC" w:rsidRPr="004248F3" w:rsidRDefault="00000000">
      <w:pPr>
        <w:pStyle w:val="Descripcin"/>
        <w:keepNext/>
        <w:pageBreakBefore/>
        <w:rPr>
          <w:rFonts w:asciiTheme="majorHAnsi" w:hAnsiTheme="majorHAnsi" w:cstheme="majorHAnsi"/>
          <w:b w:val="0"/>
          <w:bCs w:val="0"/>
        </w:rPr>
      </w:pPr>
      <w:bookmarkStart w:id="1" w:name="_RefTable1"/>
      <w:r w:rsidRPr="004248F3">
        <w:rPr>
          <w:rFonts w:asciiTheme="majorHAnsi" w:hAnsiTheme="majorHAnsi" w:cstheme="majorHAnsi"/>
          <w:b w:val="0"/>
          <w:bCs w:val="0"/>
        </w:rPr>
        <w:lastRenderedPageBreak/>
        <w:t xml:space="preserve">Table </w:t>
      </w:r>
      <w:r w:rsidRPr="004248F3">
        <w:rPr>
          <w:rFonts w:asciiTheme="majorHAnsi" w:hAnsiTheme="majorHAnsi" w:cstheme="majorHAnsi"/>
          <w:b w:val="0"/>
          <w:bCs w:val="0"/>
        </w:rPr>
        <w:fldChar w:fldCharType="begin"/>
      </w:r>
      <w:r w:rsidRPr="004248F3">
        <w:rPr>
          <w:rFonts w:asciiTheme="majorHAnsi" w:hAnsiTheme="majorHAnsi" w:cstheme="majorHAnsi"/>
          <w:b w:val="0"/>
          <w:bCs w:val="0"/>
        </w:rPr>
        <w:instrText xml:space="preserve"> SEQ Table \* ARABIC </w:instrText>
      </w:r>
      <w:r w:rsidRPr="004248F3">
        <w:rPr>
          <w:rFonts w:asciiTheme="majorHAnsi" w:hAnsiTheme="majorHAnsi" w:cstheme="majorHAnsi"/>
          <w:b w:val="0"/>
          <w:bCs w:val="0"/>
        </w:rPr>
        <w:fldChar w:fldCharType="separate"/>
      </w:r>
      <w:r w:rsidR="002A258E" w:rsidRPr="004248F3">
        <w:rPr>
          <w:rFonts w:asciiTheme="majorHAnsi" w:hAnsiTheme="majorHAnsi" w:cstheme="majorHAnsi"/>
          <w:b w:val="0"/>
          <w:bCs w:val="0"/>
          <w:noProof/>
        </w:rPr>
        <w:t>1</w:t>
      </w:r>
      <w:r w:rsidRPr="004248F3">
        <w:rPr>
          <w:rFonts w:asciiTheme="majorHAnsi" w:hAnsiTheme="majorHAnsi" w:cstheme="majorHAnsi"/>
          <w:b w:val="0"/>
          <w:bCs w:val="0"/>
        </w:rPr>
        <w:fldChar w:fldCharType="end"/>
      </w:r>
      <w:bookmarkEnd w:id="1"/>
      <w:r w:rsidRPr="004248F3">
        <w:rPr>
          <w:rFonts w:asciiTheme="majorHAnsi" w:hAnsiTheme="majorHAnsi" w:cstheme="majorHAnsi"/>
          <w:b w:val="0"/>
          <w:bCs w:val="0"/>
        </w:rPr>
        <w:t>. Comparative sustainability provisions in the EU-Andean and EU-Mercosur agreements</w:t>
      </w:r>
    </w:p>
    <w:tbl>
      <w:tblPr>
        <w:tblStyle w:val="Tablaconcuadrculaclara"/>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3715"/>
        <w:gridCol w:w="3715"/>
      </w:tblGrid>
      <w:tr w:rsidR="00164CBC" w:rsidRPr="004248F3" w14:paraId="53CFD42C" w14:textId="77777777" w:rsidTr="004248F3">
        <w:tc>
          <w:tcPr>
            <w:tcW w:w="1800" w:type="dxa"/>
            <w:tcBorders>
              <w:top w:val="single" w:sz="4" w:space="0" w:color="auto"/>
              <w:bottom w:val="single" w:sz="4" w:space="0" w:color="auto"/>
            </w:tcBorders>
            <w:vAlign w:val="center"/>
          </w:tcPr>
          <w:p w14:paraId="39CD0A89" w14:textId="77777777" w:rsidR="00164CBC" w:rsidRPr="004248F3" w:rsidRDefault="00000000" w:rsidP="004248F3">
            <w:pPr>
              <w:spacing w:after="40"/>
              <w:jc w:val="center"/>
              <w:rPr>
                <w:rFonts w:asciiTheme="majorHAnsi" w:hAnsiTheme="majorHAnsi" w:cstheme="majorHAnsi"/>
                <w:b/>
              </w:rPr>
            </w:pPr>
            <w:r w:rsidRPr="004248F3">
              <w:rPr>
                <w:rFonts w:asciiTheme="majorHAnsi" w:hAnsiTheme="majorHAnsi" w:cstheme="majorHAnsi"/>
                <w:b/>
                <w:sz w:val="17"/>
              </w:rPr>
              <w:t>Feature</w:t>
            </w:r>
          </w:p>
        </w:tc>
        <w:tc>
          <w:tcPr>
            <w:tcW w:w="3715" w:type="dxa"/>
            <w:tcBorders>
              <w:top w:val="single" w:sz="4" w:space="0" w:color="auto"/>
              <w:bottom w:val="single" w:sz="4" w:space="0" w:color="auto"/>
            </w:tcBorders>
            <w:vAlign w:val="center"/>
          </w:tcPr>
          <w:p w14:paraId="0A1A051C" w14:textId="77777777" w:rsidR="00164CBC" w:rsidRPr="004248F3" w:rsidRDefault="00000000" w:rsidP="004248F3">
            <w:pPr>
              <w:spacing w:after="40"/>
              <w:jc w:val="center"/>
              <w:rPr>
                <w:rFonts w:asciiTheme="majorHAnsi" w:hAnsiTheme="majorHAnsi" w:cstheme="majorHAnsi"/>
                <w:b/>
              </w:rPr>
            </w:pPr>
            <w:r w:rsidRPr="004248F3">
              <w:rPr>
                <w:rFonts w:asciiTheme="majorHAnsi" w:hAnsiTheme="majorHAnsi" w:cstheme="majorHAnsi"/>
                <w:b/>
                <w:sz w:val="17"/>
              </w:rPr>
              <w:t>EU-Andean Trade Agreement</w:t>
            </w:r>
          </w:p>
        </w:tc>
        <w:tc>
          <w:tcPr>
            <w:tcW w:w="3715" w:type="dxa"/>
            <w:tcBorders>
              <w:top w:val="single" w:sz="4" w:space="0" w:color="auto"/>
              <w:bottom w:val="single" w:sz="4" w:space="0" w:color="auto"/>
            </w:tcBorders>
            <w:vAlign w:val="center"/>
          </w:tcPr>
          <w:p w14:paraId="2342C6C2" w14:textId="77777777" w:rsidR="00164CBC" w:rsidRPr="004248F3" w:rsidRDefault="00000000" w:rsidP="004248F3">
            <w:pPr>
              <w:spacing w:after="40"/>
              <w:jc w:val="center"/>
              <w:rPr>
                <w:rFonts w:asciiTheme="majorHAnsi" w:hAnsiTheme="majorHAnsi" w:cstheme="majorHAnsi"/>
                <w:b/>
              </w:rPr>
            </w:pPr>
            <w:r w:rsidRPr="004248F3">
              <w:rPr>
                <w:rFonts w:asciiTheme="majorHAnsi" w:hAnsiTheme="majorHAnsi" w:cstheme="majorHAnsi"/>
                <w:b/>
                <w:sz w:val="17"/>
              </w:rPr>
              <w:t>EU-Mercosur Agreement (2024 outcome)</w:t>
            </w:r>
          </w:p>
        </w:tc>
      </w:tr>
      <w:tr w:rsidR="00164CBC" w:rsidRPr="004248F3" w14:paraId="18F72592" w14:textId="77777777" w:rsidTr="004248F3">
        <w:tc>
          <w:tcPr>
            <w:tcW w:w="1800" w:type="dxa"/>
            <w:tcBorders>
              <w:top w:val="single" w:sz="4" w:space="0" w:color="auto"/>
            </w:tcBorders>
            <w:vAlign w:val="center"/>
          </w:tcPr>
          <w:p w14:paraId="670B71B3"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Enforcement mechanisms</w:t>
            </w:r>
          </w:p>
        </w:tc>
        <w:tc>
          <w:tcPr>
            <w:tcW w:w="3715" w:type="dxa"/>
            <w:tcBorders>
              <w:top w:val="single" w:sz="4" w:space="0" w:color="auto"/>
            </w:tcBorders>
            <w:vAlign w:val="center"/>
          </w:tcPr>
          <w:p w14:paraId="3D15D870"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Cooperative and managerial. Implementation relies on dialogue in the Trade and Sustainable Development Sub-committee, monitoring by Domestic Advisory Groups and recurring evaluation. The chapter does not provide for automatic trade sanctions (European Commission 2023; Garcia and Gomez Arana 2025).</w:t>
            </w:r>
          </w:p>
        </w:tc>
        <w:tc>
          <w:tcPr>
            <w:tcW w:w="3715" w:type="dxa"/>
            <w:tcBorders>
              <w:top w:val="single" w:sz="4" w:space="0" w:color="auto"/>
            </w:tcBorders>
            <w:vAlign w:val="center"/>
          </w:tcPr>
          <w:p w14:paraId="0A1D168F"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Strengthened but differentiated. The Additional Instrument clarifies implementation commitments, while the TSD Sub-committee, Domestic Advisory Groups, consultations and a panel of experts remain central. The Paris Agreement has a separate status as an essential element (European Commission 2026c).</w:t>
            </w:r>
          </w:p>
        </w:tc>
      </w:tr>
      <w:tr w:rsidR="00164CBC" w:rsidRPr="004248F3" w14:paraId="6B5ECDF1" w14:textId="77777777" w:rsidTr="004248F3">
        <w:tc>
          <w:tcPr>
            <w:tcW w:w="1800" w:type="dxa"/>
            <w:vAlign w:val="center"/>
          </w:tcPr>
          <w:p w14:paraId="5C691FAA"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Dispute resolution</w:t>
            </w:r>
          </w:p>
        </w:tc>
        <w:tc>
          <w:tcPr>
            <w:tcW w:w="3715" w:type="dxa"/>
            <w:vAlign w:val="center"/>
          </w:tcPr>
          <w:p w14:paraId="47F09D7D"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Government consultations may be followed by a panel of experts. Its public report contains findings and recommendations, but the TSD chapter is excluded from the agreement's general trade dispute-settlement route.</w:t>
            </w:r>
          </w:p>
        </w:tc>
        <w:tc>
          <w:tcPr>
            <w:tcW w:w="3715" w:type="dxa"/>
            <w:vAlign w:val="center"/>
          </w:tcPr>
          <w:p w14:paraId="74D6B15A"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 xml:space="preserve">Government consultations may be followed by an independent panel of experts. Trade sanctions do not follow automatically from every TSD breach. Suspension is linked instead to a serious breach of, or withdrawal from, the Paris Agreement through the essential-elements clause (European Commission 2026c; </w:t>
            </w:r>
            <w:proofErr w:type="spellStart"/>
            <w:r w:rsidRPr="004248F3">
              <w:rPr>
                <w:rFonts w:asciiTheme="majorHAnsi" w:hAnsiTheme="majorHAnsi" w:cstheme="majorHAnsi"/>
                <w:sz w:val="16"/>
              </w:rPr>
              <w:t>Akdogan</w:t>
            </w:r>
            <w:proofErr w:type="spellEnd"/>
            <w:r w:rsidRPr="004248F3">
              <w:rPr>
                <w:rFonts w:asciiTheme="majorHAnsi" w:hAnsiTheme="majorHAnsi" w:cstheme="majorHAnsi"/>
                <w:sz w:val="16"/>
              </w:rPr>
              <w:t xml:space="preserve"> 2025).</w:t>
            </w:r>
          </w:p>
        </w:tc>
      </w:tr>
      <w:tr w:rsidR="00164CBC" w:rsidRPr="004248F3" w14:paraId="0332D57F" w14:textId="77777777" w:rsidTr="004248F3">
        <w:tc>
          <w:tcPr>
            <w:tcW w:w="1800" w:type="dxa"/>
            <w:vAlign w:val="center"/>
          </w:tcPr>
          <w:p w14:paraId="2F0F8752"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Conditionality design</w:t>
            </w:r>
          </w:p>
        </w:tc>
        <w:tc>
          <w:tcPr>
            <w:tcW w:w="3715" w:type="dxa"/>
            <w:vAlign w:val="center"/>
          </w:tcPr>
          <w:p w14:paraId="01C71681"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 xml:space="preserve">Cooperative </w:t>
            </w:r>
            <w:proofErr w:type="spellStart"/>
            <w:r w:rsidRPr="004248F3">
              <w:rPr>
                <w:rFonts w:asciiTheme="majorHAnsi" w:hAnsiTheme="majorHAnsi" w:cstheme="majorHAnsi"/>
                <w:sz w:val="16"/>
              </w:rPr>
              <w:t>externalisation</w:t>
            </w:r>
            <w:proofErr w:type="spellEnd"/>
            <w:r w:rsidRPr="004248F3">
              <w:rPr>
                <w:rFonts w:asciiTheme="majorHAnsi" w:hAnsiTheme="majorHAnsi" w:cstheme="majorHAnsi"/>
                <w:sz w:val="16"/>
              </w:rPr>
              <w:t xml:space="preserve">. Environmental and </w:t>
            </w:r>
            <w:proofErr w:type="spellStart"/>
            <w:r w:rsidRPr="004248F3">
              <w:rPr>
                <w:rFonts w:asciiTheme="majorHAnsi" w:hAnsiTheme="majorHAnsi" w:cstheme="majorHAnsi"/>
                <w:sz w:val="16"/>
              </w:rPr>
              <w:t>labour</w:t>
            </w:r>
            <w:proofErr w:type="spellEnd"/>
            <w:r w:rsidRPr="004248F3">
              <w:rPr>
                <w:rFonts w:asciiTheme="majorHAnsi" w:hAnsiTheme="majorHAnsi" w:cstheme="majorHAnsi"/>
                <w:sz w:val="16"/>
              </w:rPr>
              <w:t xml:space="preserve"> objectives are framed as shared commitments and pursued through dialogue, monitoring and technical cooperation. Continued preferences are not routinely conditioned on measured sustainability outcomes.</w:t>
            </w:r>
          </w:p>
        </w:tc>
        <w:tc>
          <w:tcPr>
            <w:tcW w:w="3715" w:type="dxa"/>
            <w:vAlign w:val="center"/>
          </w:tcPr>
          <w:p w14:paraId="4DB711CD"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Integration by contradiction. Market opening is combined with stronger deforestation commitments and an essential-elements climate clause. The legal signal is firmer, but implementation still depends on domestic institutions, evidence and financial capacity.</w:t>
            </w:r>
          </w:p>
        </w:tc>
      </w:tr>
      <w:tr w:rsidR="00164CBC" w:rsidRPr="004248F3" w14:paraId="5BAB5AC7" w14:textId="77777777" w:rsidTr="004248F3">
        <w:tc>
          <w:tcPr>
            <w:tcW w:w="1800" w:type="dxa"/>
            <w:vAlign w:val="center"/>
          </w:tcPr>
          <w:p w14:paraId="50352275"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Sectoral coverage</w:t>
            </w:r>
          </w:p>
        </w:tc>
        <w:tc>
          <w:tcPr>
            <w:tcW w:w="3715" w:type="dxa"/>
            <w:vAlign w:val="center"/>
          </w:tcPr>
          <w:p w14:paraId="2177BAA0"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 xml:space="preserve">Broad TSD coverage includes </w:t>
            </w:r>
            <w:proofErr w:type="spellStart"/>
            <w:r w:rsidRPr="004248F3">
              <w:rPr>
                <w:rFonts w:asciiTheme="majorHAnsi" w:hAnsiTheme="majorHAnsi" w:cstheme="majorHAnsi"/>
                <w:sz w:val="16"/>
              </w:rPr>
              <w:t>labour</w:t>
            </w:r>
            <w:proofErr w:type="spellEnd"/>
            <w:r w:rsidRPr="004248F3">
              <w:rPr>
                <w:rFonts w:asciiTheme="majorHAnsi" w:hAnsiTheme="majorHAnsi" w:cstheme="majorHAnsi"/>
                <w:sz w:val="16"/>
              </w:rPr>
              <w:t xml:space="preserve"> standards, multilateral environmental agreements, biodiversity and the sustainable use of natural resources. Sector-specific concerns are developed mainly through committee work and evaluation.</w:t>
            </w:r>
          </w:p>
        </w:tc>
        <w:tc>
          <w:tcPr>
            <w:tcW w:w="3715" w:type="dxa"/>
            <w:vAlign w:val="center"/>
          </w:tcPr>
          <w:p w14:paraId="093F479F"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The agreement gives greater political weight to deforestation, land use, agriculture and biodiversity, while also promoting sustainable trade and investment in critical raw materials. The EUDR remains a parallel EU regulation rather than part of the treaty.</w:t>
            </w:r>
          </w:p>
        </w:tc>
      </w:tr>
    </w:tbl>
    <w:p w14:paraId="57C67116" w14:textId="77777777" w:rsidR="00164CBC" w:rsidRPr="004248F3" w:rsidRDefault="00000000">
      <w:pPr>
        <w:pStyle w:val="Descripcin"/>
        <w:rPr>
          <w:rFonts w:asciiTheme="majorHAnsi" w:hAnsiTheme="majorHAnsi" w:cstheme="majorHAnsi"/>
          <w:b w:val="0"/>
          <w:bCs w:val="0"/>
          <w:i w:val="0"/>
          <w:iCs/>
          <w:color w:val="auto"/>
        </w:rPr>
      </w:pPr>
      <w:r w:rsidRPr="004248F3">
        <w:rPr>
          <w:rFonts w:asciiTheme="majorHAnsi" w:hAnsiTheme="majorHAnsi" w:cstheme="majorHAnsi"/>
          <w:b w:val="0"/>
          <w:bCs w:val="0"/>
          <w:i w:val="0"/>
          <w:iCs/>
          <w:color w:val="auto"/>
        </w:rPr>
        <w:t xml:space="preserve">Source: Authors' synthesis based on European Commission (2023, 2026a, 2026c), Garcia and Gomez Arana (2025), </w:t>
      </w:r>
      <w:proofErr w:type="spellStart"/>
      <w:r w:rsidRPr="004248F3">
        <w:rPr>
          <w:rFonts w:asciiTheme="majorHAnsi" w:hAnsiTheme="majorHAnsi" w:cstheme="majorHAnsi"/>
          <w:b w:val="0"/>
          <w:bCs w:val="0"/>
          <w:i w:val="0"/>
          <w:iCs/>
          <w:color w:val="auto"/>
        </w:rPr>
        <w:t>Akdogan</w:t>
      </w:r>
      <w:proofErr w:type="spellEnd"/>
      <w:r w:rsidRPr="004248F3">
        <w:rPr>
          <w:rFonts w:asciiTheme="majorHAnsi" w:hAnsiTheme="majorHAnsi" w:cstheme="majorHAnsi"/>
          <w:b w:val="0"/>
          <w:bCs w:val="0"/>
          <w:i w:val="0"/>
          <w:iCs/>
          <w:color w:val="auto"/>
        </w:rPr>
        <w:t xml:space="preserve"> (2025), Cesar de Oliveira et al. (2024), and the final agreement text.</w:t>
      </w:r>
    </w:p>
    <w:p w14:paraId="72ED4F4D" w14:textId="77777777" w:rsidR="009F5E07" w:rsidRPr="004248F3" w:rsidRDefault="009F5E07" w:rsidP="009F5E07">
      <w:pPr>
        <w:pStyle w:val="Ttulo2"/>
        <w:rPr>
          <w:rFonts w:cstheme="majorHAnsi"/>
        </w:rPr>
      </w:pPr>
      <w:r w:rsidRPr="004248F3">
        <w:rPr>
          <w:rFonts w:cstheme="majorHAnsi"/>
        </w:rPr>
        <w:t>Asymmetric greening separates regulatory ambition from transformative capacity</w:t>
      </w:r>
    </w:p>
    <w:p w14:paraId="150835E9"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The concept of asymmetric greening captures the central comparative finding. EU trade governance can become greener at the levels of treaty language, institutional architecture</w:t>
      </w:r>
      <w:r w:rsidR="000052D7" w:rsidRPr="004248F3">
        <w:rPr>
          <w:rFonts w:asciiTheme="majorHAnsi" w:hAnsiTheme="majorHAnsi" w:cstheme="majorHAnsi"/>
        </w:rPr>
        <w:t>, and public justification, while remaining uncertain about</w:t>
      </w:r>
      <w:r w:rsidRPr="004248F3">
        <w:rPr>
          <w:rFonts w:asciiTheme="majorHAnsi" w:hAnsiTheme="majorHAnsi" w:cstheme="majorHAnsi"/>
        </w:rPr>
        <w:t xml:space="preserve"> its capacity to transform production systems. The asymmetry operates in several related dimensions. The first lies between the EU’s ability to define </w:t>
      </w:r>
      <w:r w:rsidR="000052D7" w:rsidRPr="004248F3">
        <w:rPr>
          <w:rFonts w:asciiTheme="majorHAnsi" w:hAnsiTheme="majorHAnsi" w:cstheme="majorHAnsi"/>
        </w:rPr>
        <w:t>market access conditions and the unequal capacity of partner states and producers to meet</w:t>
      </w:r>
      <w:r w:rsidRPr="004248F3">
        <w:rPr>
          <w:rFonts w:asciiTheme="majorHAnsi" w:hAnsiTheme="majorHAnsi" w:cstheme="majorHAnsi"/>
        </w:rPr>
        <w:t xml:space="preserve"> those conditions. The second lies between the Union’s capacity to demand compliance and its willingness to provide the finance, technology, data infrastructure and policy space required to make compliance socially sustainable. The third separates regulatory effects from structural transformation: rules may alter documentation and market </w:t>
      </w:r>
      <w:proofErr w:type="spellStart"/>
      <w:r w:rsidRPr="004248F3">
        <w:rPr>
          <w:rFonts w:asciiTheme="majorHAnsi" w:hAnsiTheme="majorHAnsi" w:cstheme="majorHAnsi"/>
        </w:rPr>
        <w:t>behaviour</w:t>
      </w:r>
      <w:proofErr w:type="spellEnd"/>
      <w:r w:rsidRPr="004248F3">
        <w:rPr>
          <w:rFonts w:asciiTheme="majorHAnsi" w:hAnsiTheme="majorHAnsi" w:cstheme="majorHAnsi"/>
        </w:rPr>
        <w:t xml:space="preserve"> without changing the development models that generate environmental pressure.</w:t>
      </w:r>
    </w:p>
    <w:p w14:paraId="7708E5B6"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This argument does not imply that European requirements have no practical consequences. On the contrary, market-access conditions can reshape procurement, certification, traceability and administrative priorities. The analytical problem is that these changes may be mistaken for broader transformation. Regulatory power exists when the EU can define a condition that firms and governments must </w:t>
      </w:r>
      <w:proofErr w:type="gramStart"/>
      <w:r w:rsidRPr="004248F3">
        <w:rPr>
          <w:rFonts w:asciiTheme="majorHAnsi" w:hAnsiTheme="majorHAnsi" w:cstheme="majorHAnsi"/>
        </w:rPr>
        <w:t>take into account</w:t>
      </w:r>
      <w:proofErr w:type="gramEnd"/>
      <w:r w:rsidRPr="004248F3">
        <w:rPr>
          <w:rFonts w:asciiTheme="majorHAnsi" w:hAnsiTheme="majorHAnsi" w:cstheme="majorHAnsi"/>
        </w:rPr>
        <w:t xml:space="preserve">. </w:t>
      </w:r>
      <w:proofErr w:type="gramStart"/>
      <w:r w:rsidRPr="004248F3">
        <w:rPr>
          <w:rFonts w:asciiTheme="majorHAnsi" w:hAnsiTheme="majorHAnsi" w:cstheme="majorHAnsi"/>
        </w:rPr>
        <w:t>Implementation</w:t>
      </w:r>
      <w:proofErr w:type="gramEnd"/>
      <w:r w:rsidRPr="004248F3">
        <w:rPr>
          <w:rFonts w:asciiTheme="majorHAnsi" w:hAnsiTheme="majorHAnsi" w:cstheme="majorHAnsi"/>
        </w:rPr>
        <w:t xml:space="preserve"> power requires a credible chain of monitoring, evidence, finance and enforcement. Transformative power demands more: rules and resources must change the underlying production model rather than merely redistribute the costs of proving compliance.</w:t>
      </w:r>
    </w:p>
    <w:p w14:paraId="2B616E8E"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two agreements display recurrent slippage between these forms of power. In the Andean case, evaluation and committee structures demonstrate implementation power in a limited procedural sense, but evidence of changes to the </w:t>
      </w:r>
      <w:proofErr w:type="spellStart"/>
      <w:r w:rsidRPr="004248F3">
        <w:rPr>
          <w:rFonts w:asciiTheme="majorHAnsi" w:hAnsiTheme="majorHAnsi" w:cstheme="majorHAnsi"/>
        </w:rPr>
        <w:t>organisation</w:t>
      </w:r>
      <w:proofErr w:type="spellEnd"/>
      <w:r w:rsidRPr="004248F3">
        <w:rPr>
          <w:rFonts w:asciiTheme="majorHAnsi" w:hAnsiTheme="majorHAnsi" w:cstheme="majorHAnsi"/>
        </w:rPr>
        <w:t xml:space="preserve"> of production is less conclusive. In Mercosur, the strengthened sustainability architecture demonstrates the EU’s regulatory and political leverage, yet the </w:t>
      </w:r>
      <w:r w:rsidRPr="004248F3">
        <w:rPr>
          <w:rFonts w:asciiTheme="majorHAnsi" w:hAnsiTheme="majorHAnsi" w:cstheme="majorHAnsi"/>
        </w:rPr>
        <w:lastRenderedPageBreak/>
        <w:t>effects of those provisions depend on domestic land governance, commodity markets and implementation capacity. A provision can therefore be legally significant and operationally incomplete; similarly, a demanding standard can improve environmental documentation while creating regressive effects for actors with fewer resources.</w:t>
      </w:r>
    </w:p>
    <w:p w14:paraId="53DB05BE"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distributional implications are particularly important. Compliance with environmental conditions increasingly requires geolocation, production histories, </w:t>
      </w:r>
      <w:r w:rsidR="000052D7" w:rsidRPr="004248F3">
        <w:rPr>
          <w:rFonts w:asciiTheme="majorHAnsi" w:hAnsiTheme="majorHAnsi" w:cstheme="majorHAnsi"/>
        </w:rPr>
        <w:t>supply chain mapping, legal records,</w:t>
      </w:r>
      <w:r w:rsidRPr="004248F3">
        <w:rPr>
          <w:rFonts w:asciiTheme="majorHAnsi" w:hAnsiTheme="majorHAnsi" w:cstheme="majorHAnsi"/>
        </w:rPr>
        <w:t xml:space="preserve"> and continuous due diligence. Large exporters may </w:t>
      </w:r>
      <w:r w:rsidR="000052D7" w:rsidRPr="004248F3">
        <w:rPr>
          <w:rFonts w:asciiTheme="majorHAnsi" w:hAnsiTheme="majorHAnsi" w:cstheme="majorHAnsi"/>
        </w:rPr>
        <w:t>have the financial and technical resources to build these systems, whereas small producers and intermediaries may face disproportionate</w:t>
      </w:r>
      <w:r w:rsidRPr="004248F3">
        <w:rPr>
          <w:rFonts w:asciiTheme="majorHAnsi" w:hAnsiTheme="majorHAnsi" w:cstheme="majorHAnsi"/>
        </w:rPr>
        <w:t xml:space="preserve"> burdens. If buyers transfer verification costs down the chain, European markets may become more traceable while also becoming less accessible. Greening is asymmetric when the benefits of reduced consumption-related risk accrue primarily within Europe while the costs of adjustment are concentrated in producer territories.</w:t>
      </w:r>
    </w:p>
    <w:p w14:paraId="147820CB" w14:textId="77777777" w:rsidR="009F5E07" w:rsidRPr="004248F3" w:rsidRDefault="009F5E07" w:rsidP="009F5E07">
      <w:pPr>
        <w:pStyle w:val="Ttulo2"/>
        <w:rPr>
          <w:rFonts w:cstheme="majorHAnsi"/>
        </w:rPr>
      </w:pPr>
      <w:r w:rsidRPr="004248F3">
        <w:rPr>
          <w:rFonts w:cstheme="majorHAnsi"/>
        </w:rPr>
        <w:t xml:space="preserve">The EUDR confirms the argument through a harder form of </w:t>
      </w:r>
      <w:proofErr w:type="spellStart"/>
      <w:r w:rsidRPr="004248F3">
        <w:rPr>
          <w:rFonts w:cstheme="majorHAnsi"/>
        </w:rPr>
        <w:t>externalisation</w:t>
      </w:r>
      <w:proofErr w:type="spellEnd"/>
    </w:p>
    <w:p w14:paraId="5F8ECC42"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EU Deforestation Regulation provides parallel evidence because it operates independently of either trade agreement. Regulation (EU) 2023/1115 conditions the placement of covered commodities and products on the European market </w:t>
      </w:r>
      <w:proofErr w:type="gramStart"/>
      <w:r w:rsidRPr="004248F3">
        <w:rPr>
          <w:rFonts w:asciiTheme="majorHAnsi" w:hAnsiTheme="majorHAnsi" w:cstheme="majorHAnsi"/>
        </w:rPr>
        <w:t xml:space="preserve">on </w:t>
      </w:r>
      <w:r w:rsidR="000052D7" w:rsidRPr="004248F3">
        <w:rPr>
          <w:rFonts w:asciiTheme="majorHAnsi" w:hAnsiTheme="majorHAnsi" w:cstheme="majorHAnsi"/>
        </w:rPr>
        <w:t>the basis of</w:t>
      </w:r>
      <w:proofErr w:type="gramEnd"/>
      <w:r w:rsidR="000052D7" w:rsidRPr="004248F3">
        <w:rPr>
          <w:rFonts w:asciiTheme="majorHAnsi" w:hAnsiTheme="majorHAnsi" w:cstheme="majorHAnsi"/>
        </w:rPr>
        <w:t xml:space="preserve"> </w:t>
      </w:r>
      <w:r w:rsidRPr="004248F3">
        <w:rPr>
          <w:rFonts w:asciiTheme="majorHAnsi" w:hAnsiTheme="majorHAnsi" w:cstheme="majorHAnsi"/>
        </w:rPr>
        <w:t xml:space="preserve">evidence that they are not associated with recent deforestation or forest degradation. It connects access directly to due diligence and therefore represents a harder form of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than the traditionally promotional model of TSD chapters. Its legal reach does not depend on bilateral consent or completion of a trade negotiation.</w:t>
      </w:r>
    </w:p>
    <w:p w14:paraId="043EE8E1"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The EUDR appears, at first, to overcome some weaknesses of negotiated sustainability provisions. It establishes clearer operational obligations, applies directly through EU law and creates a stronger market signal. It therefore offers a test of whether autonomous regulation can generate environmental leverage more rapidly than dialogue, monitoring and expert recommendations. The comparison nevertheless shows that legal clarity does not eliminate implementation politics.</w:t>
      </w:r>
    </w:p>
    <w:p w14:paraId="7C78BE9A"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Changes to the implementation timetable and information system illustrate this point. The </w:t>
      </w:r>
      <w:proofErr w:type="gramStart"/>
      <w:r w:rsidRPr="004248F3">
        <w:rPr>
          <w:rFonts w:asciiTheme="majorHAnsi" w:hAnsiTheme="majorHAnsi" w:cstheme="majorHAnsi"/>
        </w:rPr>
        <w:t>regulation’s</w:t>
      </w:r>
      <w:proofErr w:type="gramEnd"/>
      <w:r w:rsidRPr="004248F3">
        <w:rPr>
          <w:rFonts w:asciiTheme="majorHAnsi" w:hAnsiTheme="majorHAnsi" w:cstheme="majorHAnsi"/>
        </w:rPr>
        <w:t xml:space="preserve"> application </w:t>
      </w:r>
      <w:proofErr w:type="gramStart"/>
      <w:r w:rsidRPr="004248F3">
        <w:rPr>
          <w:rFonts w:asciiTheme="majorHAnsi" w:hAnsiTheme="majorHAnsi" w:cstheme="majorHAnsi"/>
        </w:rPr>
        <w:t>has required</w:t>
      </w:r>
      <w:proofErr w:type="gramEnd"/>
      <w:r w:rsidRPr="004248F3">
        <w:rPr>
          <w:rFonts w:asciiTheme="majorHAnsi" w:hAnsiTheme="majorHAnsi" w:cstheme="majorHAnsi"/>
        </w:rPr>
        <w:t xml:space="preserve"> adjustments concerning operator size, product scope, data systems and simplified procedures for certain small primary operators. These developments do not necessarily indicate regulatory failure. They show that administrative burden and data infrastructure are constitutive elements of implementation rather than secondary technical matters. A rule may be ambitious in legal form while depending on information systems and institutional capacities that remain unevenly available.</w:t>
      </w:r>
    </w:p>
    <w:p w14:paraId="3F3502FF"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The EUDR also exposes a tension between regulatory autonomy and international cooperation. An autonomous measure can create a clear condition for entry into the EU market, but partner governments and producers may experience it as unilateral regulation with extraterritorial effects. Guidance, benchmarking, cooperation initiatives</w:t>
      </w:r>
      <w:r w:rsidR="000052D7" w:rsidRPr="004248F3">
        <w:rPr>
          <w:rFonts w:asciiTheme="majorHAnsi" w:hAnsiTheme="majorHAnsi" w:cstheme="majorHAnsi"/>
        </w:rPr>
        <w:t>, and technical assistance can mitigate this tension, but they do not eliminate</w:t>
      </w:r>
      <w:r w:rsidRPr="004248F3">
        <w:rPr>
          <w:rFonts w:asciiTheme="majorHAnsi" w:hAnsiTheme="majorHAnsi" w:cstheme="majorHAnsi"/>
        </w:rPr>
        <w:t xml:space="preserve"> the unequal distribution of evidentiary burdens. Operators must demonstrate compliance </w:t>
      </w:r>
      <w:r w:rsidR="000052D7" w:rsidRPr="004248F3">
        <w:rPr>
          <w:rFonts w:asciiTheme="majorHAnsi" w:hAnsiTheme="majorHAnsi" w:cstheme="majorHAnsi"/>
        </w:rPr>
        <w:t>with European requirements even where public registries, geolocation systems, and land tenure</w:t>
      </w:r>
      <w:r w:rsidRPr="004248F3">
        <w:rPr>
          <w:rFonts w:asciiTheme="majorHAnsi" w:hAnsiTheme="majorHAnsi" w:cstheme="majorHAnsi"/>
        </w:rPr>
        <w:t xml:space="preserve"> information remain incomplete.</w:t>
      </w:r>
    </w:p>
    <w:p w14:paraId="6FC0BD96"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regulation therefore confirms the asymmetric-greening argument in a setting distinct from treaty implementation. A harder instrument may improve traceability and strengthen accountability, yet it can also intensify pressure on actors least able to document production. Moreover, market-specific rules may redirect commodities toward destinations with weaker requirements rather than eliminate the economic </w:t>
      </w:r>
      <w:r w:rsidRPr="004248F3">
        <w:rPr>
          <w:rFonts w:asciiTheme="majorHAnsi" w:hAnsiTheme="majorHAnsi" w:cstheme="majorHAnsi"/>
        </w:rPr>
        <w:lastRenderedPageBreak/>
        <w:t>incentives associated with land conversion. The EUDR expands regulatory reach, but its transformative effects still depend on domestic enforcement, global commodity markets and cooperation beyond the Union’s jurisdiction.</w:t>
      </w:r>
    </w:p>
    <w:p w14:paraId="5036123C" w14:textId="77777777" w:rsidR="009F5E07" w:rsidRPr="004248F3" w:rsidRDefault="009F5E07" w:rsidP="009F5E07">
      <w:pPr>
        <w:pStyle w:val="Ttulo2"/>
        <w:rPr>
          <w:rFonts w:cstheme="majorHAnsi"/>
        </w:rPr>
      </w:pPr>
      <w:r w:rsidRPr="004248F3">
        <w:rPr>
          <w:rFonts w:cstheme="majorHAnsi"/>
        </w:rPr>
        <w:t>Sustainability provisions function as legitimacy devices without being empty</w:t>
      </w:r>
    </w:p>
    <w:p w14:paraId="4566739E"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comparison also permits a direct assessment of the legitimacy-device thesis. The strongest version of that thesis would imply that the EU deliberately inserts sustainability language without intending to implement it. The evidence does not require such a conclusion. A more defensible interpretation is functional: sustainability provisions can </w:t>
      </w:r>
      <w:proofErr w:type="spellStart"/>
      <w:r w:rsidRPr="004248F3">
        <w:rPr>
          <w:rFonts w:asciiTheme="majorHAnsi" w:hAnsiTheme="majorHAnsi" w:cstheme="majorHAnsi"/>
        </w:rPr>
        <w:t>legitimise</w:t>
      </w:r>
      <w:proofErr w:type="spellEnd"/>
      <w:r w:rsidRPr="004248F3">
        <w:rPr>
          <w:rFonts w:asciiTheme="majorHAnsi" w:hAnsiTheme="majorHAnsi" w:cstheme="majorHAnsi"/>
        </w:rPr>
        <w:t xml:space="preserve"> market opening even when their environmental effects remain uncertain. They create a vocabulary of responsibility,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expectations and help governments defend agreements before parliaments, civil society and domestic constituencies.</w:t>
      </w:r>
    </w:p>
    <w:p w14:paraId="066E5CDA"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This </w:t>
      </w:r>
      <w:proofErr w:type="spellStart"/>
      <w:r w:rsidRPr="004248F3">
        <w:rPr>
          <w:rFonts w:asciiTheme="majorHAnsi" w:hAnsiTheme="majorHAnsi" w:cstheme="majorHAnsi"/>
        </w:rPr>
        <w:t>legitimising</w:t>
      </w:r>
      <w:proofErr w:type="spellEnd"/>
      <w:r w:rsidRPr="004248F3">
        <w:rPr>
          <w:rFonts w:asciiTheme="majorHAnsi" w:hAnsiTheme="majorHAnsi" w:cstheme="majorHAnsi"/>
        </w:rPr>
        <w:t xml:space="preserve"> function is visible in both cases, although it operates differently. In the Andean agreement, evaluation reports, committees and consultation procedures demonstrate that implementation is subject to continuing oversight. These institutions support </w:t>
      </w:r>
      <w:r w:rsidR="000052D7" w:rsidRPr="004248F3">
        <w:rPr>
          <w:rFonts w:asciiTheme="majorHAnsi" w:hAnsiTheme="majorHAnsi" w:cstheme="majorHAnsi"/>
        </w:rPr>
        <w:t>presenting</w:t>
      </w:r>
      <w:r w:rsidRPr="004248F3">
        <w:rPr>
          <w:rFonts w:asciiTheme="majorHAnsi" w:hAnsiTheme="majorHAnsi" w:cstheme="majorHAnsi"/>
        </w:rPr>
        <w:t xml:space="preserve"> the agreement as governed rather than merely </w:t>
      </w:r>
      <w:proofErr w:type="spellStart"/>
      <w:r w:rsidRPr="004248F3">
        <w:rPr>
          <w:rFonts w:asciiTheme="majorHAnsi" w:hAnsiTheme="majorHAnsi" w:cstheme="majorHAnsi"/>
        </w:rPr>
        <w:t>liberalising</w:t>
      </w:r>
      <w:proofErr w:type="spellEnd"/>
      <w:r w:rsidRPr="004248F3">
        <w:rPr>
          <w:rFonts w:asciiTheme="majorHAnsi" w:hAnsiTheme="majorHAnsi" w:cstheme="majorHAnsi"/>
        </w:rPr>
        <w:t xml:space="preserve">. In Mercosur, stronger commitments on climate and deforestation helped respond to a much more visible crisis by allowing the parties to frame the agreement as compatible with the Green Deal. Sustainability provisions therefore contributed to </w:t>
      </w:r>
      <w:r w:rsidR="000052D7" w:rsidRPr="004248F3">
        <w:rPr>
          <w:rFonts w:asciiTheme="majorHAnsi" w:hAnsiTheme="majorHAnsi" w:cstheme="majorHAnsi"/>
        </w:rPr>
        <w:t>both political manageability and</w:t>
      </w:r>
      <w:r w:rsidRPr="004248F3">
        <w:rPr>
          <w:rFonts w:asciiTheme="majorHAnsi" w:hAnsiTheme="majorHAnsi" w:cstheme="majorHAnsi"/>
        </w:rPr>
        <w:t xml:space="preserve"> regulatory content.</w:t>
      </w:r>
    </w:p>
    <w:p w14:paraId="52ECD29D"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Describing them as legitimacy devices does not mean that they lack effects. Institutional language can influence administrative agendas, generate evidence, empower some actors and establish standards against which governments may be </w:t>
      </w:r>
      <w:proofErr w:type="spellStart"/>
      <w:r w:rsidRPr="004248F3">
        <w:rPr>
          <w:rFonts w:asciiTheme="majorHAnsi" w:hAnsiTheme="majorHAnsi" w:cstheme="majorHAnsi"/>
        </w:rPr>
        <w:t>criticised</w:t>
      </w:r>
      <w:proofErr w:type="spellEnd"/>
      <w:r w:rsidRPr="004248F3">
        <w:rPr>
          <w:rFonts w:asciiTheme="majorHAnsi" w:hAnsiTheme="majorHAnsi" w:cstheme="majorHAnsi"/>
        </w:rPr>
        <w:t xml:space="preserve">. The problem arises when legitimacy substitutes for settlement. The parties may repeatedly affirm common objectives without determining who </w:t>
      </w:r>
      <w:r w:rsidR="000052D7" w:rsidRPr="004248F3">
        <w:rPr>
          <w:rFonts w:asciiTheme="majorHAnsi" w:hAnsiTheme="majorHAnsi" w:cstheme="majorHAnsi"/>
        </w:rPr>
        <w:t xml:space="preserve">will finance compliance, how evidence will be shared, how affected communities will participate, or what remedies will </w:t>
      </w:r>
      <w:r w:rsidRPr="004248F3">
        <w:rPr>
          <w:rFonts w:asciiTheme="majorHAnsi" w:hAnsiTheme="majorHAnsi" w:cstheme="majorHAnsi"/>
        </w:rPr>
        <w:t>follow persistent non-implementation.</w:t>
      </w:r>
    </w:p>
    <w:p w14:paraId="6258AC72"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Under those conditions, sustainability governance </w:t>
      </w:r>
      <w:proofErr w:type="spellStart"/>
      <w:r w:rsidRPr="004248F3">
        <w:rPr>
          <w:rFonts w:asciiTheme="majorHAnsi" w:hAnsiTheme="majorHAnsi" w:cstheme="majorHAnsi"/>
        </w:rPr>
        <w:t>stabilises</w:t>
      </w:r>
      <w:proofErr w:type="spellEnd"/>
      <w:r w:rsidRPr="004248F3">
        <w:rPr>
          <w:rFonts w:asciiTheme="majorHAnsi" w:hAnsiTheme="majorHAnsi" w:cstheme="majorHAnsi"/>
        </w:rPr>
        <w:t xml:space="preserve"> conflict rather than resolving it. The resulting regime is fragmented because trade agreements, autonomous regulations, evaluations and cooperation </w:t>
      </w:r>
      <w:proofErr w:type="spellStart"/>
      <w:r w:rsidRPr="004248F3">
        <w:rPr>
          <w:rFonts w:asciiTheme="majorHAnsi" w:hAnsiTheme="majorHAnsi" w:cstheme="majorHAnsi"/>
        </w:rPr>
        <w:t>programmes</w:t>
      </w:r>
      <w:proofErr w:type="spellEnd"/>
      <w:r w:rsidRPr="004248F3">
        <w:rPr>
          <w:rFonts w:asciiTheme="majorHAnsi" w:hAnsiTheme="majorHAnsi" w:cstheme="majorHAnsi"/>
        </w:rPr>
        <w:t xml:space="preserve"> follow different institutional logics. It is also hierarchical because the EU retains greater authority to define market conditions, while partner governments and producers bear much of the immediate burden of adjustment. Legitimacy effects can therefore exceed demonstrated environmental effects even when the provisions themselves are meaningful.</w:t>
      </w:r>
    </w:p>
    <w:p w14:paraId="7EDC8254" w14:textId="77777777" w:rsidR="009F5E07" w:rsidRPr="004248F3" w:rsidRDefault="009F5E07" w:rsidP="009F5E07">
      <w:pPr>
        <w:pStyle w:val="Ttulo2"/>
        <w:rPr>
          <w:rFonts w:cstheme="majorHAnsi"/>
        </w:rPr>
      </w:pPr>
      <w:r w:rsidRPr="004248F3">
        <w:rPr>
          <w:rFonts w:cstheme="majorHAnsi"/>
        </w:rPr>
        <w:t>A more transformative model would connect obligations, resources and accountability</w:t>
      </w:r>
    </w:p>
    <w:p w14:paraId="6C80C67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comparison finally identifies the conditions under which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could become more transformative. Obligations must generate measurable duties, monitoring must rest on shared and credible </w:t>
      </w:r>
      <w:proofErr w:type="gramStart"/>
      <w:r w:rsidRPr="004248F3">
        <w:rPr>
          <w:rFonts w:asciiTheme="majorHAnsi" w:hAnsiTheme="majorHAnsi" w:cstheme="majorHAnsi"/>
        </w:rPr>
        <w:t>data, and</w:t>
      </w:r>
      <w:proofErr w:type="gramEnd"/>
      <w:r w:rsidRPr="004248F3">
        <w:rPr>
          <w:rFonts w:asciiTheme="majorHAnsi" w:hAnsiTheme="majorHAnsi" w:cstheme="majorHAnsi"/>
        </w:rPr>
        <w:t xml:space="preserve"> affected actors must have meaningful opportunities to influence implementation. Cooperation and finance are especially important where European requirements presuppose public registries, geolocation tools, traceability infrastructure or enforcement capacities that are unevenly distributed. Enforcement must also carry consequences, although sanctions alone cannot </w:t>
      </w:r>
      <w:proofErr w:type="spellStart"/>
      <w:r w:rsidRPr="004248F3">
        <w:rPr>
          <w:rFonts w:asciiTheme="majorHAnsi" w:hAnsiTheme="majorHAnsi" w:cstheme="majorHAnsi"/>
        </w:rPr>
        <w:t>reorganise</w:t>
      </w:r>
      <w:proofErr w:type="spellEnd"/>
      <w:r w:rsidRPr="004248F3">
        <w:rPr>
          <w:rFonts w:asciiTheme="majorHAnsi" w:hAnsiTheme="majorHAnsi" w:cstheme="majorHAnsi"/>
        </w:rPr>
        <w:t xml:space="preserve"> production or correct unequal bargaining power.</w:t>
      </w:r>
    </w:p>
    <w:p w14:paraId="234A266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These conditions place responsibilities on the EU as well as on trading partners. A credible model would combine regulatory leverage with financial and administrative support, permit contextual adaptation without abandoning accountability and specify remedies when implementation fails. This provides a </w:t>
      </w:r>
      <w:r w:rsidRPr="004248F3">
        <w:rPr>
          <w:rFonts w:asciiTheme="majorHAnsi" w:hAnsiTheme="majorHAnsi" w:cstheme="majorHAnsi"/>
        </w:rPr>
        <w:lastRenderedPageBreak/>
        <w:t xml:space="preserve">practical test of the legitimacy-device thesis: sustainability provisions that connect rules, resources, participation and remedy do more than justify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w:t>
      </w:r>
    </w:p>
    <w:p w14:paraId="6EAF5A2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principal obstacle is the fragmented allocation of authority. Agreements depend on negotiation and reciprocity; the EUDR arises from autonomous EU legislation; evaluations produce knowledge without rewriting legal obligations; and cooperation </w:t>
      </w:r>
      <w:proofErr w:type="spellStart"/>
      <w:r w:rsidRPr="004248F3">
        <w:rPr>
          <w:rFonts w:asciiTheme="majorHAnsi" w:hAnsiTheme="majorHAnsi" w:cstheme="majorHAnsi"/>
        </w:rPr>
        <w:t>programmes</w:t>
      </w:r>
      <w:proofErr w:type="spellEnd"/>
      <w:r w:rsidRPr="004248F3">
        <w:rPr>
          <w:rFonts w:asciiTheme="majorHAnsi" w:hAnsiTheme="majorHAnsi" w:cstheme="majorHAnsi"/>
        </w:rPr>
        <w:t xml:space="preserve"> may build capacity without imposing accountability. Their timelines also differ. Regulatory ambition can advance before partner-country data systems are operational, while committees may identify problems without controlling the resources required to address them.</w:t>
      </w:r>
    </w:p>
    <w:p w14:paraId="5821D711" w14:textId="77777777" w:rsidR="008E28CD" w:rsidRPr="004248F3" w:rsidRDefault="009F5E07" w:rsidP="009F5E07">
      <w:pPr>
        <w:rPr>
          <w:rFonts w:asciiTheme="majorHAnsi" w:hAnsiTheme="majorHAnsi" w:cstheme="majorHAnsi"/>
        </w:rPr>
      </w:pPr>
      <w:r w:rsidRPr="004248F3">
        <w:rPr>
          <w:rFonts w:asciiTheme="majorHAnsi" w:hAnsiTheme="majorHAnsi" w:cstheme="majorHAnsi"/>
        </w:rPr>
        <w:t xml:space="preserve">The comparative conclusion is therefore necessarily qualified. The EU has expanded the environmental reach of its trade policy, but regulatory reach has </w:t>
      </w:r>
      <w:r w:rsidR="000052D7" w:rsidRPr="004248F3">
        <w:rPr>
          <w:rFonts w:asciiTheme="majorHAnsi" w:hAnsiTheme="majorHAnsi" w:cstheme="majorHAnsi"/>
        </w:rPr>
        <w:t>outpaced</w:t>
      </w:r>
      <w:r w:rsidRPr="004248F3">
        <w:rPr>
          <w:rFonts w:asciiTheme="majorHAnsi" w:hAnsiTheme="majorHAnsi" w:cstheme="majorHAnsi"/>
        </w:rPr>
        <w:t xml:space="preserve"> the institutional capacity to make it equitable, effective and politically durable. The Andean agreement demonstrates how sustainability can be </w:t>
      </w:r>
      <w:proofErr w:type="spellStart"/>
      <w:r w:rsidRPr="004248F3">
        <w:rPr>
          <w:rFonts w:asciiTheme="majorHAnsi" w:hAnsiTheme="majorHAnsi" w:cstheme="majorHAnsi"/>
        </w:rPr>
        <w:t>normalised</w:t>
      </w:r>
      <w:proofErr w:type="spellEnd"/>
      <w:r w:rsidRPr="004248F3">
        <w:rPr>
          <w:rFonts w:asciiTheme="majorHAnsi" w:hAnsiTheme="majorHAnsi" w:cstheme="majorHAnsi"/>
        </w:rPr>
        <w:t xml:space="preserve"> through procedure; Mercosur reveals the conflicts that emerge when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intersects with land use, sovereignty and strategic bargaining; and the EUDR shows that autonomous regulation offers greater legal force without escaping distributive and implementation problems. Together, the cases show that asymmetric greening is not a temporary imperfection of EU trade governance. It is a structural tension between the Union’s capacity to define environmental conditions and its more limited capacity to support and govern the transformations those conditions require.</w:t>
      </w:r>
    </w:p>
    <w:p w14:paraId="254485D0" w14:textId="77777777" w:rsidR="008E28CD" w:rsidRPr="004248F3" w:rsidRDefault="00000000">
      <w:pPr>
        <w:pStyle w:val="Ttulo1"/>
        <w:rPr>
          <w:rFonts w:cstheme="majorHAnsi"/>
        </w:rPr>
      </w:pPr>
      <w:r w:rsidRPr="004248F3">
        <w:rPr>
          <w:rFonts w:cstheme="majorHAnsi"/>
        </w:rPr>
        <w:t>Conclusion: integration without settlement</w:t>
      </w:r>
    </w:p>
    <w:p w14:paraId="50CE3FD9"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Can EU trade policy with Latin America be understood as an instrument of European integration? The answer is yes, but only if integration is understood as a differentiated process that extends European rules, procedures and political categories beyond the Union's territory. The EU-Andean </w:t>
      </w:r>
      <w:r w:rsidR="000052D7" w:rsidRPr="004248F3">
        <w:rPr>
          <w:rFonts w:asciiTheme="majorHAnsi" w:hAnsiTheme="majorHAnsi" w:cstheme="majorHAnsi"/>
        </w:rPr>
        <w:t>and EU-Mercosur agreements</w:t>
      </w:r>
      <w:r w:rsidRPr="004248F3">
        <w:rPr>
          <w:rFonts w:asciiTheme="majorHAnsi" w:hAnsiTheme="majorHAnsi" w:cstheme="majorHAnsi"/>
        </w:rPr>
        <w:t xml:space="preserve"> show that trade can create durable cross-border institutional relations. It can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evaluation, committee work, reporting, due diligence and public expectations. In that sense, it is not external to European integration. It is one of its contemporary forms.</w:t>
      </w:r>
    </w:p>
    <w:p w14:paraId="13744605"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answer is more qualified if integration is expected to deliver ecological transformation. The common TSD template does not determine outcomes. In the Andean case, it has supported a relatively quiet process of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and ex post evaluation. In the Mercosur case, it has been drawn into a conflict over agricultural access, deforestation, geopolitical strategy and Green Deal credibility. The same broad repertoire can therefore </w:t>
      </w:r>
      <w:proofErr w:type="spellStart"/>
      <w:r w:rsidRPr="004248F3">
        <w:rPr>
          <w:rFonts w:asciiTheme="majorHAnsi" w:hAnsiTheme="majorHAnsi" w:cstheme="majorHAnsi"/>
        </w:rPr>
        <w:t>stabilise</w:t>
      </w:r>
      <w:proofErr w:type="spellEnd"/>
      <w:r w:rsidRPr="004248F3">
        <w:rPr>
          <w:rFonts w:asciiTheme="majorHAnsi" w:hAnsiTheme="majorHAnsi" w:cstheme="majorHAnsi"/>
        </w:rPr>
        <w:t xml:space="preserve"> cooperation in one setting and expose contradiction in another.</w:t>
      </w:r>
    </w:p>
    <w:p w14:paraId="6EAEEDA7"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chapter's counterintuitive conclusion is that greener treaty language may coincide with weaker transformative capacity when environmental ambition is used to make market opening politically acceptable without resolving the material conflicts of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This is not an argument against sustainability provisions. It is an argument for evaluating what they do. They can create cooperation, information and political leverage. They can also function as legitimacy devices that defer questions of responsibility, financing and enforcement.</w:t>
      </w:r>
    </w:p>
    <w:p w14:paraId="47E01694"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EUDR strengthens this conclusion by showing that autonomous regulation is not a simple alternative to negotiated trade governance. It can provide a sharper market signal, but its implementation has also been amended and delayed. The evidence therefore points toward a fragmented regime rather than a single European model of green integration. Trade agreements, autonomous regulations, evaluation </w:t>
      </w:r>
      <w:r w:rsidRPr="004248F3">
        <w:rPr>
          <w:rFonts w:asciiTheme="majorHAnsi" w:hAnsiTheme="majorHAnsi" w:cstheme="majorHAnsi"/>
        </w:rPr>
        <w:lastRenderedPageBreak/>
        <w:t>systems and cooperation initiatives overlap, sometimes reinforcing one another and sometimes producing new asymmetries.</w:t>
      </w:r>
    </w:p>
    <w:p w14:paraId="7ACF0FCB" w14:textId="77777777" w:rsidR="008E28CD" w:rsidRPr="004248F3" w:rsidRDefault="00000000">
      <w:pPr>
        <w:rPr>
          <w:rFonts w:asciiTheme="majorHAnsi" w:hAnsiTheme="majorHAnsi" w:cstheme="majorHAnsi"/>
        </w:rPr>
      </w:pPr>
      <w:r w:rsidRPr="004248F3">
        <w:rPr>
          <w:rFonts w:asciiTheme="majorHAnsi" w:hAnsiTheme="majorHAnsi" w:cstheme="majorHAnsi"/>
        </w:rPr>
        <w:t>This fragmentation also limits accountability. A treaty committee, an importing firm and a partner-country authority may each comply with its own procedure while no institution takes responsibility for the combined environmental and social outcome. Integration without institutional coordination can therefore increase regulatory density without settling the underlying conflict.</w:t>
      </w:r>
    </w:p>
    <w:p w14:paraId="749DCB64"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political question that follows is who bears the costs of this arrangement. If the EU </w:t>
      </w:r>
      <w:proofErr w:type="spellStart"/>
      <w:r w:rsidRPr="004248F3">
        <w:rPr>
          <w:rFonts w:asciiTheme="majorHAnsi" w:hAnsiTheme="majorHAnsi" w:cstheme="majorHAnsi"/>
        </w:rPr>
        <w:t>externalises</w:t>
      </w:r>
      <w:proofErr w:type="spellEnd"/>
      <w:r w:rsidRPr="004248F3">
        <w:rPr>
          <w:rFonts w:asciiTheme="majorHAnsi" w:hAnsiTheme="majorHAnsi" w:cstheme="majorHAnsi"/>
        </w:rPr>
        <w:t xml:space="preserve"> standards without </w:t>
      </w:r>
      <w:proofErr w:type="spellStart"/>
      <w:r w:rsidRPr="004248F3">
        <w:rPr>
          <w:rFonts w:asciiTheme="majorHAnsi" w:hAnsiTheme="majorHAnsi" w:cstheme="majorHAnsi"/>
        </w:rPr>
        <w:t>externalising</w:t>
      </w:r>
      <w:proofErr w:type="spellEnd"/>
      <w:r w:rsidRPr="004248F3">
        <w:rPr>
          <w:rFonts w:asciiTheme="majorHAnsi" w:hAnsiTheme="majorHAnsi" w:cstheme="majorHAnsi"/>
        </w:rPr>
        <w:t xml:space="preserve"> capacity and resources, producers and partner governments will bear a disproportionate share of compliance costs. If it softens standards to preserve strategic access, ecological ambition may become a language of reassurance rather than transformation. A more credible approach would treat market access, environmental protection and distributive responsibility as connected elements of the same integration project.</w:t>
      </w:r>
    </w:p>
    <w:p w14:paraId="6490A3DA"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EU's Latin American agreements do not provide a finished model. They provide a field in which the future of European integration is being negotiated beyond Europe. Their significance lies not in proving that trade is either green or </w:t>
      </w:r>
      <w:proofErr w:type="spellStart"/>
      <w:r w:rsidRPr="004248F3">
        <w:rPr>
          <w:rFonts w:asciiTheme="majorHAnsi" w:hAnsiTheme="majorHAnsi" w:cstheme="majorHAnsi"/>
        </w:rPr>
        <w:t>ungreen</w:t>
      </w:r>
      <w:proofErr w:type="spellEnd"/>
      <w:r w:rsidRPr="004248F3">
        <w:rPr>
          <w:rFonts w:asciiTheme="majorHAnsi" w:hAnsiTheme="majorHAnsi" w:cstheme="majorHAnsi"/>
        </w:rPr>
        <w:t xml:space="preserve">, but in showing how sustainability becomes a transnational struggle over authority, evidence and costs. The task for the next phase of European trade policy is to close the distance between the rules it projects and the capacities </w:t>
      </w:r>
      <w:proofErr w:type="gramStart"/>
      <w:r w:rsidRPr="004248F3">
        <w:rPr>
          <w:rFonts w:asciiTheme="majorHAnsi" w:hAnsiTheme="majorHAnsi" w:cstheme="majorHAnsi"/>
        </w:rPr>
        <w:t>it helps</w:t>
      </w:r>
      <w:proofErr w:type="gramEnd"/>
      <w:r w:rsidRPr="004248F3">
        <w:rPr>
          <w:rFonts w:asciiTheme="majorHAnsi" w:hAnsiTheme="majorHAnsi" w:cstheme="majorHAnsi"/>
        </w:rPr>
        <w:t xml:space="preserve"> create. Without that link, green integration will remain integration by contradiction.</w:t>
      </w:r>
    </w:p>
    <w:p w14:paraId="1BEACB06" w14:textId="77777777" w:rsidR="008E28CD" w:rsidRPr="004248F3" w:rsidRDefault="00000000">
      <w:pPr>
        <w:rPr>
          <w:rFonts w:asciiTheme="majorHAnsi" w:hAnsiTheme="majorHAnsi" w:cstheme="majorHAnsi"/>
        </w:rPr>
      </w:pPr>
      <w:r w:rsidRPr="004248F3">
        <w:rPr>
          <w:rFonts w:asciiTheme="majorHAnsi" w:hAnsiTheme="majorHAnsi" w:cstheme="majorHAnsi"/>
        </w:rPr>
        <w:br w:type="page"/>
      </w:r>
    </w:p>
    <w:p w14:paraId="197B5D14" w14:textId="77777777" w:rsidR="008E28CD" w:rsidRPr="004248F3" w:rsidRDefault="00000000">
      <w:pPr>
        <w:pStyle w:val="Ttulo1"/>
        <w:rPr>
          <w:rFonts w:cstheme="majorHAnsi"/>
        </w:rPr>
      </w:pPr>
      <w:r w:rsidRPr="004248F3">
        <w:rPr>
          <w:rFonts w:cstheme="majorHAnsi"/>
        </w:rPr>
        <w:lastRenderedPageBreak/>
        <w:t>References</w:t>
      </w:r>
    </w:p>
    <w:p w14:paraId="2CAE8F13"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Akdogan</w:t>
      </w:r>
      <w:proofErr w:type="spellEnd"/>
      <w:r w:rsidRPr="004248F3">
        <w:rPr>
          <w:rFonts w:asciiTheme="majorHAnsi" w:hAnsiTheme="majorHAnsi" w:cstheme="majorHAnsi"/>
        </w:rPr>
        <w:t>, Saide Esra. 2025. "What Is There to Enforce? Multilateral Agreements and Standards in the Trade and Sustainable Development Chapters of the EU Free Trade Agreements." In EU External Relations Law and Sustainability: The EU, Third States and International Organizations, 137-166. The Hague: T.M.C. Asser Press. https://doi.org/10.1007/978-94-6265-655-0_7.</w:t>
      </w:r>
    </w:p>
    <w:p w14:paraId="3FB39854"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lang w:val="de-DE"/>
        </w:rPr>
        <w:t xml:space="preserve">Albertoni, Nicolas, and Rupert Schlegelmilch. </w:t>
      </w:r>
      <w:r w:rsidRPr="004248F3">
        <w:rPr>
          <w:rFonts w:asciiTheme="majorHAnsi" w:hAnsiTheme="majorHAnsi" w:cstheme="majorHAnsi"/>
        </w:rPr>
        <w:t xml:space="preserve">2026. "EU-Mercosur: Negotiating and Concluding a Trade Agreement in an Age of Trade Uncertainty." World Trade </w:t>
      </w:r>
      <w:proofErr w:type="gramStart"/>
      <w:r w:rsidRPr="004248F3">
        <w:rPr>
          <w:rFonts w:asciiTheme="majorHAnsi" w:hAnsiTheme="majorHAnsi" w:cstheme="majorHAnsi"/>
        </w:rPr>
        <w:t>Review :</w:t>
      </w:r>
      <w:proofErr w:type="gramEnd"/>
      <w:r w:rsidRPr="004248F3">
        <w:rPr>
          <w:rFonts w:asciiTheme="majorHAnsi" w:hAnsiTheme="majorHAnsi" w:cstheme="majorHAnsi"/>
        </w:rPr>
        <w:t xml:space="preserve"> 1-12. https://doi.org/10.1017/S1474745626101517.</w:t>
      </w:r>
    </w:p>
    <w:p w14:paraId="67E7B2D8" w14:textId="77777777" w:rsidR="008E28CD" w:rsidRPr="004248F3" w:rsidRDefault="00000000">
      <w:pPr>
        <w:pStyle w:val="Bibliografa1"/>
        <w:rPr>
          <w:rFonts w:asciiTheme="majorHAnsi" w:hAnsiTheme="majorHAnsi" w:cstheme="majorHAnsi"/>
          <w:lang w:val="es-ES"/>
        </w:rPr>
      </w:pPr>
      <w:r w:rsidRPr="004248F3">
        <w:rPr>
          <w:rFonts w:asciiTheme="majorHAnsi" w:hAnsiTheme="majorHAnsi" w:cstheme="majorHAnsi"/>
        </w:rPr>
        <w:t xml:space="preserve">Bradford, Anu. 2020. The Brussels Effect: How the European Union Rules the World. </w:t>
      </w:r>
      <w:r w:rsidRPr="004248F3">
        <w:rPr>
          <w:rFonts w:asciiTheme="majorHAnsi" w:hAnsiTheme="majorHAnsi" w:cstheme="majorHAnsi"/>
          <w:lang w:val="es-ES"/>
        </w:rPr>
        <w:t xml:space="preserve">Oxford: Oxford </w:t>
      </w:r>
      <w:proofErr w:type="spellStart"/>
      <w:r w:rsidRPr="004248F3">
        <w:rPr>
          <w:rFonts w:asciiTheme="majorHAnsi" w:hAnsiTheme="majorHAnsi" w:cstheme="majorHAnsi"/>
          <w:lang w:val="es-ES"/>
        </w:rPr>
        <w:t>University</w:t>
      </w:r>
      <w:proofErr w:type="spellEnd"/>
      <w:r w:rsidRPr="004248F3">
        <w:rPr>
          <w:rFonts w:asciiTheme="majorHAnsi" w:hAnsiTheme="majorHAnsi" w:cstheme="majorHAnsi"/>
          <w:lang w:val="es-ES"/>
        </w:rPr>
        <w:t xml:space="preserve"> Press. https://doi.org/10.1093/oso/9780190088583.001.0001.</w:t>
      </w:r>
    </w:p>
    <w:p w14:paraId="3EC4EAA0"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lang w:val="es-ES"/>
        </w:rPr>
        <w:t xml:space="preserve">Cesar de Oliveira, Susan E. M., Jaqueline C. Visentin, Bruna F. Pavani, Paulo D. Branco, </w:t>
      </w:r>
      <w:proofErr w:type="spellStart"/>
      <w:r w:rsidRPr="004248F3">
        <w:rPr>
          <w:rFonts w:asciiTheme="majorHAnsi" w:hAnsiTheme="majorHAnsi" w:cstheme="majorHAnsi"/>
          <w:lang w:val="es-ES"/>
        </w:rPr>
        <w:t>Marcello</w:t>
      </w:r>
      <w:proofErr w:type="spellEnd"/>
      <w:r w:rsidRPr="004248F3">
        <w:rPr>
          <w:rFonts w:asciiTheme="majorHAnsi" w:hAnsiTheme="majorHAnsi" w:cstheme="majorHAnsi"/>
          <w:lang w:val="es-ES"/>
        </w:rPr>
        <w:t xml:space="preserve"> de </w:t>
      </w:r>
      <w:proofErr w:type="spellStart"/>
      <w:r w:rsidRPr="004248F3">
        <w:rPr>
          <w:rFonts w:asciiTheme="majorHAnsi" w:hAnsiTheme="majorHAnsi" w:cstheme="majorHAnsi"/>
          <w:lang w:val="es-ES"/>
        </w:rPr>
        <w:t>Maria</w:t>
      </w:r>
      <w:proofErr w:type="spellEnd"/>
      <w:r w:rsidRPr="004248F3">
        <w:rPr>
          <w:rFonts w:asciiTheme="majorHAnsi" w:hAnsiTheme="majorHAnsi" w:cstheme="majorHAnsi"/>
          <w:lang w:val="es-ES"/>
        </w:rPr>
        <w:t xml:space="preserve">, and Rafael Loyola. </w:t>
      </w:r>
      <w:r w:rsidRPr="004248F3">
        <w:rPr>
          <w:rFonts w:asciiTheme="majorHAnsi" w:hAnsiTheme="majorHAnsi" w:cstheme="majorHAnsi"/>
        </w:rPr>
        <w:t>2024. "The European Union-Mercosur Free Trade Agreement as a Tool for Environmentally Sustainable Land Use Governance." Environmental Science &amp; Policy 161: 103875. https://doi.org/10.1016/j.envsci.2024.103875.</w:t>
      </w:r>
    </w:p>
    <w:p w14:paraId="2369D405"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Claar, Simone. 2022. "Green Colonialism in the European Green Deal: Continuities of Dependency and the Relationship of Forces between Europe and Africa." Culture, Practice &amp; Europeanization 7 (2): 262-274. https://doi.org/10.5771/2566-7742-2022-2-262.</w:t>
      </w:r>
    </w:p>
    <w:p w14:paraId="2DF779C4"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Damro</w:t>
      </w:r>
      <w:proofErr w:type="spellEnd"/>
      <w:r w:rsidRPr="004248F3">
        <w:rPr>
          <w:rFonts w:asciiTheme="majorHAnsi" w:hAnsiTheme="majorHAnsi" w:cstheme="majorHAnsi"/>
        </w:rPr>
        <w:t>, Chad. 2015. "Market Power Europe: Exploring a Dynamic Conceptual Framework." Journal of European Public Policy 22 (9): 1336-1354. https://doi.org/10.1080/13501763.2015.1046903.</w:t>
      </w:r>
    </w:p>
    <w:p w14:paraId="0A0725A7"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 xml:space="preserve">European Commission. 2019. "The European Green Deal." </w:t>
      </w:r>
      <w:proofErr w:type="gramStart"/>
      <w:r w:rsidRPr="004248F3">
        <w:rPr>
          <w:rFonts w:asciiTheme="majorHAnsi" w:hAnsiTheme="majorHAnsi" w:cstheme="majorHAnsi"/>
        </w:rPr>
        <w:t>COM(</w:t>
      </w:r>
      <w:proofErr w:type="gramEnd"/>
      <w:r w:rsidRPr="004248F3">
        <w:rPr>
          <w:rFonts w:asciiTheme="majorHAnsi" w:hAnsiTheme="majorHAnsi" w:cstheme="majorHAnsi"/>
        </w:rPr>
        <w:t>2019) 640 final. https://eur-lex.europa.eu/legal-content/EN/TXT/?uri=CELEX:52019DC0640.</w:t>
      </w:r>
    </w:p>
    <w:p w14:paraId="4F3C3C27"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2020. "European Commission Publishes Draft Sustainability Impact Assessment for the Trade Part of the EU-Mercosur Association Agreement." https://policy.trade.ec.europa.eu/news/european-commission-publishes-draft-sustainability-impact-assessment-trade-part-eu-mercosur-2020-07-08_en.</w:t>
      </w:r>
    </w:p>
    <w:p w14:paraId="54DC7EC1"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2022. Ex-post Evaluation of the Implementation of the Trade Agreement between the EU and Its Member States and Colombia, Peru and Ecuador: Final Report, Volume I. Publications Office of the European Union. https://doi.org/10.2781/92363.</w:t>
      </w:r>
    </w:p>
    <w:p w14:paraId="29F7A31B"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2023. "Ex-post Evaluations: Evaluation of the EU-Colombia/Ecuador/Peru Trade Agreement." https://policy.trade.ec.europa.eu/analysis-and-assessment/ex-post-evaluations_en.</w:t>
      </w:r>
    </w:p>
    <w:p w14:paraId="1C39195A"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 "EU-Mercosur: Text of the Agreement." https://policy.trade.ec.europa.eu/eu-trade-relationships-country-and-region/countries-and-regions/mercosur/eu-mercosur-agreement/text-agreement_en.</w:t>
      </w:r>
    </w:p>
    <w:p w14:paraId="558E63AA"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 "Regulation on Deforestation-free Products." https://environment.ec.europa.eu/topics/forests/deforestation/regulation-deforestation-free-products_en.</w:t>
      </w:r>
    </w:p>
    <w:p w14:paraId="52926605"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 "Commission Updates Product Scope and Digital Tools to Support Implementation of EU Deforestation Regulation." https://environment.ec.europa.eu/news/commission-updates-product-scope-and-tools-support-eudr-2026-07-13_en.</w:t>
      </w:r>
    </w:p>
    <w:p w14:paraId="5560B1EB"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 "EU-Mercosur Partnership Agreement: Trade and Sustainable Development." https://policy.trade.ec.europa.eu/eu-trade-relationships-country-and-region/countries-and-</w:t>
      </w:r>
      <w:r w:rsidRPr="004248F3">
        <w:rPr>
          <w:rFonts w:asciiTheme="majorHAnsi" w:hAnsiTheme="majorHAnsi" w:cstheme="majorHAnsi"/>
        </w:rPr>
        <w:lastRenderedPageBreak/>
        <w:t>regions/mercosur/eu-mercosur-agreement/factsheet-eu-mercosur-partnership-agreement-trade-and-sustainable-development_en.</w:t>
      </w:r>
    </w:p>
    <w:p w14:paraId="799677FB"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Parliament, and Council of the European Union. 2023. Regulation (EU) 2023/1115 of 31 May 2023 on Deforestation-free Products. Official Journal of the European Union, 206-247. https://eur-lex.europa.eu/eli/reg/2023/1115/2025-12-26/eng.</w:t>
      </w:r>
    </w:p>
    <w:p w14:paraId="1C85E2CE"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Parliament. 2019. "Resolution of 16 January 2019 on the Implementation of the EU-Colombia and Peru Trade Agreement." P8\_</w:t>
      </w:r>
      <w:proofErr w:type="gramStart"/>
      <w:r w:rsidRPr="004248F3">
        <w:rPr>
          <w:rFonts w:asciiTheme="majorHAnsi" w:hAnsiTheme="majorHAnsi" w:cstheme="majorHAnsi"/>
        </w:rPr>
        <w:t>TA(</w:t>
      </w:r>
      <w:proofErr w:type="gramEnd"/>
      <w:r w:rsidRPr="004248F3">
        <w:rPr>
          <w:rFonts w:asciiTheme="majorHAnsi" w:hAnsiTheme="majorHAnsi" w:cstheme="majorHAnsi"/>
        </w:rPr>
        <w:t>2019)0031. https://www.europarl.europa.eu/doceo/document/TA-8-2019-0031_EN.html.</w:t>
      </w:r>
    </w:p>
    <w:p w14:paraId="575AADCF"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Fuchs, Richard, Joanna Raymond, Karina Winkler, and Mark Rounsevell. 2024. "The EU's New Anti-deforestation Law Has Severe Loopholes That Could Be Exploited by the Forthcoming EU-MERCOSUR Trade Agreement." Environmental Research Letters 19 (9): 091005. https://doi.org/10.1088/1748-9326/ad69ab.</w:t>
      </w:r>
    </w:p>
    <w:p w14:paraId="4CCAC826"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Garcia, Maria J., and Arantza Gomez Arana. 2025. "Adaptation and Engagement with Contemporary Sustainability Challenges in the EU-Andean and EU-Central America Free Trade Agreements." Frontiers in Political Science 7: 1693155. https://doi.org/10.3389/fpos.2025.1693155.</w:t>
      </w:r>
    </w:p>
    <w:p w14:paraId="1A6D2D81"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Grieger, Gisela. 2023. EU Trade with Latin America and the Caribbean: Overview and Figures. European Parliamentary Research Service. https://doi.org/10.2861/026323.</w:t>
      </w:r>
    </w:p>
    <w:p w14:paraId="69775D37"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Harrison, James, and Sophia Paulini. 2024. "Reinventing Trade, Environment and Development Interlinkages: Lessons from the EU-Mercosur Association Agreement." Journal of International Economic Law 27 (4): 723-740. https://doi.org/10.1093/jiel/jgae044.</w:t>
      </w:r>
    </w:p>
    <w:p w14:paraId="233FFF64" w14:textId="77777777" w:rsidR="00DA147D" w:rsidRPr="004248F3" w:rsidRDefault="00DA147D">
      <w:pPr>
        <w:pStyle w:val="Bibliografa1"/>
        <w:rPr>
          <w:rFonts w:asciiTheme="majorHAnsi" w:hAnsiTheme="majorHAnsi" w:cstheme="majorHAnsi"/>
        </w:rPr>
      </w:pPr>
      <w:proofErr w:type="spellStart"/>
      <w:r w:rsidRPr="004248F3">
        <w:rPr>
          <w:rFonts w:asciiTheme="majorHAnsi" w:hAnsiTheme="majorHAnsi" w:cstheme="majorHAnsi"/>
        </w:rPr>
        <w:t>Judijanto</w:t>
      </w:r>
      <w:proofErr w:type="spellEnd"/>
      <w:r w:rsidRPr="004248F3">
        <w:rPr>
          <w:rFonts w:asciiTheme="majorHAnsi" w:hAnsiTheme="majorHAnsi" w:cstheme="majorHAnsi"/>
        </w:rPr>
        <w:t>, L. (2025). Green Neo-colonialism or Sustainable Trade: EUDR's Equity Implications for Global South Smallholders. International Journal of Environmental Sciences, 11(5), 994-1003</w:t>
      </w:r>
    </w:p>
    <w:p w14:paraId="69357532"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Lavenex</w:t>
      </w:r>
      <w:proofErr w:type="spellEnd"/>
      <w:r w:rsidRPr="004248F3">
        <w:rPr>
          <w:rFonts w:asciiTheme="majorHAnsi" w:hAnsiTheme="majorHAnsi" w:cstheme="majorHAnsi"/>
        </w:rPr>
        <w:t>, Sandra, and Frank Schimmelfennig. 2009. "EU Rules Beyond EU Borders: Theorizing External Governance in European Politics." Journal of European Public Policy 16 (6): 791-812. https://doi.org/10.1080/13501760903087696.</w:t>
      </w:r>
    </w:p>
    <w:p w14:paraId="42DDDF26" w14:textId="77777777" w:rsidR="008E28CD" w:rsidRPr="004248F3" w:rsidRDefault="00000000">
      <w:pPr>
        <w:pStyle w:val="Bibliografa1"/>
        <w:rPr>
          <w:rFonts w:asciiTheme="majorHAnsi" w:hAnsiTheme="majorHAnsi" w:cstheme="majorHAnsi"/>
          <w:lang w:val="es-ES"/>
        </w:rPr>
      </w:pPr>
      <w:r w:rsidRPr="004248F3">
        <w:rPr>
          <w:rFonts w:asciiTheme="majorHAnsi" w:hAnsiTheme="majorHAnsi" w:cstheme="majorHAnsi"/>
        </w:rPr>
        <w:t xml:space="preserve">Lima, Luciana Cristina da Conceicao, Sara Moreno Pires, and David Nunes Resende. 2026. "Influence of the European Green Deal on International Trade Agreements: Analysis of the EU-MERCOSUR Case." </w:t>
      </w:r>
      <w:r w:rsidRPr="004248F3">
        <w:rPr>
          <w:rFonts w:asciiTheme="majorHAnsi" w:hAnsiTheme="majorHAnsi" w:cstheme="majorHAnsi"/>
          <w:lang w:val="es-ES"/>
        </w:rPr>
        <w:t xml:space="preserve">Revista de </w:t>
      </w:r>
      <w:proofErr w:type="spellStart"/>
      <w:r w:rsidRPr="004248F3">
        <w:rPr>
          <w:rFonts w:asciiTheme="majorHAnsi" w:hAnsiTheme="majorHAnsi" w:cstheme="majorHAnsi"/>
          <w:lang w:val="es-ES"/>
        </w:rPr>
        <w:t>Direito</w:t>
      </w:r>
      <w:proofErr w:type="spellEnd"/>
      <w:r w:rsidRPr="004248F3">
        <w:rPr>
          <w:rFonts w:asciiTheme="majorHAnsi" w:hAnsiTheme="majorHAnsi" w:cstheme="majorHAnsi"/>
          <w:lang w:val="es-ES"/>
        </w:rPr>
        <w:t xml:space="preserve"> </w:t>
      </w:r>
      <w:proofErr w:type="spellStart"/>
      <w:r w:rsidRPr="004248F3">
        <w:rPr>
          <w:rFonts w:asciiTheme="majorHAnsi" w:hAnsiTheme="majorHAnsi" w:cstheme="majorHAnsi"/>
          <w:lang w:val="es-ES"/>
        </w:rPr>
        <w:t>Economico</w:t>
      </w:r>
      <w:proofErr w:type="spellEnd"/>
      <w:r w:rsidRPr="004248F3">
        <w:rPr>
          <w:rFonts w:asciiTheme="majorHAnsi" w:hAnsiTheme="majorHAnsi" w:cstheme="majorHAnsi"/>
          <w:lang w:val="es-ES"/>
        </w:rPr>
        <w:t xml:space="preserve"> e Socioambiental 17 (1): e599. https://doi.org/10.7213/rev.dir.econ.soc.v17i1.33038.</w:t>
      </w:r>
    </w:p>
    <w:p w14:paraId="54C6826E"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 xml:space="preserve">Manners, Ian. 2002. "Normative Power Europe: A Contradiction in </w:t>
      </w:r>
      <w:proofErr w:type="gramStart"/>
      <w:r w:rsidRPr="004248F3">
        <w:rPr>
          <w:rFonts w:asciiTheme="majorHAnsi" w:hAnsiTheme="majorHAnsi" w:cstheme="majorHAnsi"/>
        </w:rPr>
        <w:t>Terms?.</w:t>
      </w:r>
      <w:proofErr w:type="gramEnd"/>
      <w:r w:rsidRPr="004248F3">
        <w:rPr>
          <w:rFonts w:asciiTheme="majorHAnsi" w:hAnsiTheme="majorHAnsi" w:cstheme="majorHAnsi"/>
        </w:rPr>
        <w:t>" Journal of Common Market Studies 40 (2): 235-258. https://doi.org/10.1111/1468-5965.00353.</w:t>
      </w:r>
    </w:p>
    <w:p w14:paraId="5E8696B1"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Marin Duran, Gracia. 2020. "Sustainable Development Chapters in EU Free Trade Agreements: Emerging Compliance Issues." Common Market Law Review 57 (4): 1031-1068. https://doi.org/10.54648/COLA2020715.</w:t>
      </w:r>
    </w:p>
    <w:p w14:paraId="6C4FF13E" w14:textId="77777777" w:rsidR="00DA147D" w:rsidRPr="004248F3" w:rsidRDefault="00DA147D">
      <w:pPr>
        <w:pStyle w:val="Bibliografa1"/>
        <w:rPr>
          <w:rFonts w:asciiTheme="majorHAnsi" w:hAnsiTheme="majorHAnsi" w:cstheme="majorHAnsi"/>
        </w:rPr>
      </w:pPr>
      <w:r w:rsidRPr="004248F3">
        <w:rPr>
          <w:rFonts w:asciiTheme="majorHAnsi" w:hAnsiTheme="majorHAnsi" w:cstheme="majorHAnsi"/>
        </w:rPr>
        <w:t>Olech, I., Krupska, K., &amp; Kosior, K. (2025). The Problem of Enforcing Environmental Clauses in the EU–Mercosur Partnership Agreement in the Context of the Discrepancy in Deforestation Indices. Forests, 16(12), 1821</w:t>
      </w:r>
    </w:p>
    <w:p w14:paraId="51E6DBC5"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Remondino</w:t>
      </w:r>
      <w:proofErr w:type="spellEnd"/>
      <w:r w:rsidRPr="004248F3">
        <w:rPr>
          <w:rFonts w:asciiTheme="majorHAnsi" w:hAnsiTheme="majorHAnsi" w:cstheme="majorHAnsi"/>
        </w:rPr>
        <w:t>, Virginia. 2023. "New Generation Free Trade Agreements at a Crossroads: Assessing Environmental Enforcement of the EU's Trade and Sustainable Development Chapters." University of Bologna Law Review 8 (1): 149-186. https://doi.org/10.6092/issn.2531-6133/18009.</w:t>
      </w:r>
    </w:p>
    <w:p w14:paraId="208A0556" w14:textId="77777777" w:rsidR="00432E29" w:rsidRPr="004248F3" w:rsidRDefault="00432E29">
      <w:pPr>
        <w:pStyle w:val="Bibliografa1"/>
        <w:rPr>
          <w:rFonts w:asciiTheme="majorHAnsi" w:hAnsiTheme="majorHAnsi" w:cstheme="majorHAnsi"/>
        </w:rPr>
      </w:pPr>
      <w:r w:rsidRPr="004248F3">
        <w:rPr>
          <w:rFonts w:asciiTheme="majorHAnsi" w:hAnsiTheme="majorHAnsi" w:cstheme="majorHAnsi"/>
        </w:rPr>
        <w:t xml:space="preserve">Regulation (EU) 2023/1115 of the European Parliament and of the Council of 31 May 2023 on </w:t>
      </w:r>
      <w:proofErr w:type="gramStart"/>
      <w:r w:rsidRPr="004248F3">
        <w:rPr>
          <w:rFonts w:asciiTheme="majorHAnsi" w:hAnsiTheme="majorHAnsi" w:cstheme="majorHAnsi"/>
        </w:rPr>
        <w:t>the making</w:t>
      </w:r>
      <w:proofErr w:type="gramEnd"/>
      <w:r w:rsidRPr="004248F3">
        <w:rPr>
          <w:rFonts w:asciiTheme="majorHAnsi" w:hAnsiTheme="majorHAnsi" w:cstheme="majorHAnsi"/>
        </w:rPr>
        <w:t xml:space="preserve"> available on the Union market and the export from the Union of certain commodities and products associated with deforestation and forest degradation</w:t>
      </w:r>
    </w:p>
    <w:p w14:paraId="69FB75E1" w14:textId="77777777" w:rsidR="00432E29" w:rsidRPr="004248F3" w:rsidRDefault="00432E29">
      <w:pPr>
        <w:pStyle w:val="Bibliografa1"/>
        <w:rPr>
          <w:rFonts w:asciiTheme="majorHAnsi" w:hAnsiTheme="majorHAnsi" w:cstheme="majorHAnsi"/>
        </w:rPr>
      </w:pPr>
      <w:proofErr w:type="spellStart"/>
      <w:r w:rsidRPr="004248F3">
        <w:rPr>
          <w:rFonts w:asciiTheme="majorHAnsi" w:hAnsiTheme="majorHAnsi" w:cstheme="majorHAnsi"/>
        </w:rPr>
        <w:lastRenderedPageBreak/>
        <w:t>Schimmelfennig</w:t>
      </w:r>
      <w:proofErr w:type="spellEnd"/>
      <w:r w:rsidRPr="004248F3">
        <w:rPr>
          <w:rFonts w:asciiTheme="majorHAnsi" w:hAnsiTheme="majorHAnsi" w:cstheme="majorHAnsi"/>
        </w:rPr>
        <w:t xml:space="preserve">, F. (2021). </w:t>
      </w:r>
      <w:proofErr w:type="spellStart"/>
      <w:r w:rsidRPr="004248F3">
        <w:rPr>
          <w:rFonts w:asciiTheme="majorHAnsi" w:hAnsiTheme="majorHAnsi" w:cstheme="majorHAnsi"/>
        </w:rPr>
        <w:t>Rebordering</w:t>
      </w:r>
      <w:proofErr w:type="spellEnd"/>
      <w:r w:rsidRPr="004248F3">
        <w:rPr>
          <w:rFonts w:asciiTheme="majorHAnsi" w:hAnsiTheme="majorHAnsi" w:cstheme="majorHAnsi"/>
        </w:rPr>
        <w:t xml:space="preserve"> Europe: external boundaries and integration in the European Union. Journal of European Public Policy, 28(3), 311–330</w:t>
      </w:r>
    </w:p>
    <w:p w14:paraId="6EE61712" w14:textId="77777777" w:rsidR="00432E29" w:rsidRPr="004248F3" w:rsidRDefault="00432E29">
      <w:pPr>
        <w:pStyle w:val="Bibliografa1"/>
        <w:rPr>
          <w:rFonts w:asciiTheme="majorHAnsi" w:hAnsiTheme="majorHAnsi" w:cstheme="majorHAnsi"/>
        </w:rPr>
      </w:pPr>
      <w:r w:rsidRPr="004248F3">
        <w:rPr>
          <w:rFonts w:asciiTheme="majorHAnsi" w:hAnsiTheme="majorHAnsi" w:cstheme="majorHAnsi"/>
        </w:rPr>
        <w:t>Von der Leyen, U. et al. (2020, 31 de enero). Joint statement by the presidents of the European Commission, the European Parliament and the European Council</w:t>
      </w:r>
    </w:p>
    <w:p w14:paraId="0C1001AE"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Zygierewicz, Anna. 2018. Trade Agreement between the European Union and Colombia and Peru: European Implementation Assessment. European Parliamentary Research Service. https://doi.org/10.2861/846773.</w:t>
      </w:r>
    </w:p>
    <w:p w14:paraId="5D1D38AA" w14:textId="77777777" w:rsidR="008E28CD" w:rsidRPr="004248F3" w:rsidRDefault="00000000">
      <w:pPr>
        <w:rPr>
          <w:rFonts w:asciiTheme="majorHAnsi" w:hAnsiTheme="majorHAnsi" w:cstheme="majorHAnsi"/>
        </w:rPr>
      </w:pPr>
      <w:r w:rsidRPr="004248F3">
        <w:rPr>
          <w:rFonts w:asciiTheme="majorHAnsi" w:hAnsiTheme="majorHAnsi" w:cstheme="majorHAnsi"/>
        </w:rPr>
        <w:br w:type="page"/>
      </w:r>
    </w:p>
    <w:sectPr w:rsidR="008E28CD" w:rsidRPr="004248F3" w:rsidSect="00034616">
      <w:footerReference w:type="default" r:id="rId9"/>
      <w:pgSz w:w="12240" w:h="15840"/>
      <w:pgMar w:top="1224" w:right="1368" w:bottom="1152"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AF565" w14:textId="77777777" w:rsidR="006C4908" w:rsidRDefault="006C4908">
      <w:pPr>
        <w:spacing w:after="0" w:line="240" w:lineRule="auto"/>
      </w:pPr>
      <w:r>
        <w:separator/>
      </w:r>
    </w:p>
  </w:endnote>
  <w:endnote w:type="continuationSeparator" w:id="0">
    <w:p w14:paraId="514267C6" w14:textId="77777777" w:rsidR="006C4908" w:rsidRDefault="006C4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CFCB" w14:textId="77777777" w:rsidR="008E28CD" w:rsidRDefault="00000000">
    <w:pPr>
      <w:pStyle w:val="Piedepgina"/>
      <w:jc w:val="center"/>
    </w:pPr>
    <w:r>
      <w:t xml:space="preserve">Page </w:t>
    </w:r>
    <w:r>
      <w:fldChar w:fldCharType="begin"/>
    </w:r>
    <w:r>
      <w:instrText>PAGE</w:instrText>
    </w:r>
    <w:r>
      <w:fldChar w:fldCharType="separate"/>
    </w:r>
    <w:r w:rsidR="00674F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38F6F" w14:textId="77777777" w:rsidR="006C4908" w:rsidRDefault="006C4908">
      <w:pPr>
        <w:spacing w:after="0" w:line="240" w:lineRule="auto"/>
      </w:pPr>
      <w:r>
        <w:separator/>
      </w:r>
    </w:p>
  </w:footnote>
  <w:footnote w:type="continuationSeparator" w:id="0">
    <w:p w14:paraId="2E386AF7" w14:textId="77777777" w:rsidR="006C4908" w:rsidRDefault="006C49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3922715">
    <w:abstractNumId w:val="8"/>
  </w:num>
  <w:num w:numId="2" w16cid:durableId="1546678330">
    <w:abstractNumId w:val="6"/>
  </w:num>
  <w:num w:numId="3" w16cid:durableId="39136030">
    <w:abstractNumId w:val="5"/>
  </w:num>
  <w:num w:numId="4" w16cid:durableId="702630266">
    <w:abstractNumId w:val="4"/>
  </w:num>
  <w:num w:numId="5" w16cid:durableId="1728143272">
    <w:abstractNumId w:val="7"/>
  </w:num>
  <w:num w:numId="6" w16cid:durableId="689264018">
    <w:abstractNumId w:val="3"/>
  </w:num>
  <w:num w:numId="7" w16cid:durableId="284435116">
    <w:abstractNumId w:val="2"/>
  </w:num>
  <w:num w:numId="8" w16cid:durableId="1849098475">
    <w:abstractNumId w:val="1"/>
  </w:num>
  <w:num w:numId="9" w16cid:durableId="72537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rSwNDewMDM0N7YwsjBQ0lEKTi0uzszPAykwqgUAJy5XJywAAAA="/>
  </w:docVars>
  <w:rsids>
    <w:rsidRoot w:val="00B47730"/>
    <w:rsid w:val="000035EF"/>
    <w:rsid w:val="000052D7"/>
    <w:rsid w:val="00034616"/>
    <w:rsid w:val="0006063C"/>
    <w:rsid w:val="00144FA6"/>
    <w:rsid w:val="0015074B"/>
    <w:rsid w:val="00164CBC"/>
    <w:rsid w:val="0029639D"/>
    <w:rsid w:val="002A258E"/>
    <w:rsid w:val="00326F90"/>
    <w:rsid w:val="003D2AAB"/>
    <w:rsid w:val="003D3155"/>
    <w:rsid w:val="004248F3"/>
    <w:rsid w:val="00426BBF"/>
    <w:rsid w:val="00432E29"/>
    <w:rsid w:val="00674F9D"/>
    <w:rsid w:val="006C4908"/>
    <w:rsid w:val="008E28CD"/>
    <w:rsid w:val="009F5E07"/>
    <w:rsid w:val="00A23A08"/>
    <w:rsid w:val="00AA1D8D"/>
    <w:rsid w:val="00B47730"/>
    <w:rsid w:val="00CB0664"/>
    <w:rsid w:val="00D52440"/>
    <w:rsid w:val="00DA147D"/>
    <w:rsid w:val="00EF6C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EA530"/>
  <w14:defaultImageDpi w14:val="300"/>
  <w15:docId w15:val="{8D8CD3CC-1F2A-4CB2-A327-74E52E1A4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rPr>
  </w:style>
  <w:style w:type="paragraph" w:styleId="Ttulo1">
    <w:name w:val="heading 1"/>
    <w:basedOn w:val="Normal"/>
    <w:next w:val="Normal"/>
    <w:link w:val="Ttulo1Car"/>
    <w:uiPriority w:val="9"/>
    <w:qFormat/>
    <w:rsid w:val="00FC693F"/>
    <w:pPr>
      <w:keepNext/>
      <w:keepLines/>
      <w:spacing w:before="280" w:after="10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40"/>
      <w:jc w:val="center"/>
    </w:pPr>
    <w:rPr>
      <w:rFonts w:asciiTheme="majorHAnsi" w:eastAsiaTheme="majorEastAsia" w:hAnsiTheme="majorHAnsi" w:cstheme="majorBid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after="80" w:line="240" w:lineRule="auto"/>
    </w:pPr>
    <w:rPr>
      <w:b/>
      <w:bCs/>
      <w:i/>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fa1">
    <w:name w:val="Bibliografía1"/>
    <w:pPr>
      <w:spacing w:after="80"/>
      <w:ind w:left="360" w:hanging="360"/>
    </w:pPr>
    <w:rPr>
      <w:rFonts w:ascii="Cambria" w:hAnsi="Cambria"/>
      <w:sz w:val="21"/>
    </w:rPr>
  </w:style>
  <w:style w:type="character" w:styleId="Hipervnculo">
    <w:name w:val="Hyperlink"/>
    <w:basedOn w:val="Fuentedeprrafopredeter"/>
    <w:uiPriority w:val="99"/>
    <w:unhideWhenUsed/>
    <w:rsid w:val="00432E29"/>
    <w:rPr>
      <w:color w:val="0000FF" w:themeColor="hyperlink"/>
      <w:u w:val="single"/>
    </w:rPr>
  </w:style>
  <w:style w:type="character" w:styleId="Mencinsinresolver">
    <w:name w:val="Unresolved Mention"/>
    <w:basedOn w:val="Fuentedeprrafopredeter"/>
    <w:uiPriority w:val="99"/>
    <w:semiHidden/>
    <w:unhideWhenUsed/>
    <w:rsid w:val="00432E29"/>
    <w:rPr>
      <w:color w:val="605E5C"/>
      <w:shd w:val="clear" w:color="auto" w:fill="E1DFDD"/>
    </w:rPr>
  </w:style>
  <w:style w:type="table" w:styleId="Tablaconcuadrculaclara">
    <w:name w:val="Grid Table Light"/>
    <w:basedOn w:val="Tablanormal"/>
    <w:uiPriority w:val="99"/>
    <w:rsid w:val="004248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22</Pages>
  <Words>10750</Words>
  <Characters>61276</Characters>
  <Application>Microsoft Office Word</Application>
  <DocSecurity>0</DocSecurity>
  <Lines>510</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Green Integration by Contradiction: EU Trade Policy and Latin America</vt:lpstr>
      <vt:lpstr/>
    </vt:vector>
  </TitlesOfParts>
  <Manager/>
  <Company/>
  <LinksUpToDate>false</LinksUpToDate>
  <CharactersWithSpaces>71883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Integration by Contradiction: EU Trade Policy and Latin America</dc:title>
  <dc:subject>First draft for Routledge Handbook of European Integrations, Volume 2</dc:subject>
  <dc:creator>Author to be confirmed</dc:creator>
  <cp:keywords>European integration; EU-Mercosur; EU-Andean; sustainability governance; deforestation; trade policy</cp:keywords>
  <dc:description>Revised draft prepared 30 July 2026 from the chapter mind map, local source corpus and online reference checks.</dc:description>
  <cp:lastModifiedBy>LEONARDO HERNAN TALERO SARMIENTO</cp:lastModifiedBy>
  <cp:revision>12</cp:revision>
  <dcterms:created xsi:type="dcterms:W3CDTF">2013-12-23T23:15:00Z</dcterms:created>
  <dcterms:modified xsi:type="dcterms:W3CDTF">2026-07-31T00:24:00Z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2b4f198b-7dbe-4f04-b70a-43a2c8572cb4</vt:lpwstr>
  </property>
</Properties>
</file>