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B53F93" w14:textId="77777777" w:rsidR="00E43161" w:rsidRDefault="00E43161" w:rsidP="00E43161">
      <w:pPr>
        <w:pStyle w:val="font-claude-response-body"/>
      </w:pPr>
      <w:r>
        <w:rPr>
          <w:rStyle w:val="lev"/>
        </w:rPr>
        <w:t>Green Integration by Contradiction: EU Trade Policy and Latin America</w:t>
      </w:r>
    </w:p>
    <w:p w14:paraId="5454D19D" w14:textId="77777777" w:rsidR="00E43161" w:rsidRDefault="00E43161" w:rsidP="00E43161">
      <w:pPr>
        <w:pStyle w:val="font-claude-response-body"/>
      </w:pPr>
      <w:r>
        <w:t>This paper examines how sustainability is being reconfigured—and at times rolled back—within European integration through the EU's external trade policy. It argues that integration increasingly occurs through externalisation: the projection of EU regulatory power, environmental norms, and supply-chain governance beyond the Union's borders. Yet this model is becoming politically unstable as sustainability commitments collide with geopolitical competition, industrial interests, and resistance from trade partners, including Latin American governments that have contested the EU's sustainability framing as a form of regulatory asymmetry.</w:t>
      </w:r>
    </w:p>
    <w:p w14:paraId="54FA6926" w14:textId="77777777" w:rsidR="00E43161" w:rsidRDefault="00E43161" w:rsidP="00E43161">
      <w:pPr>
        <w:pStyle w:val="font-claude-response-body"/>
      </w:pPr>
      <w:r>
        <w:t>The paper compares the EU–Andean Trade Agreement and the EU–Mercosur Agreement as a controlled comparison within a shared "new generation" negotiating template. While both agreements embed sustainability language, they have followed sharply different political trajectories. The EU–Andean agreement has remained relatively depoliticised and is now subject to ex post sustainability evaluation. The EU–Mercosur agreement, by contrast, became a symbol of the EU's climate contradiction, particularly after its political conclusion in December 2024, amid debates over deforestation, agricultural expansion, and the credibility of the Green Deal.</w:t>
      </w:r>
    </w:p>
    <w:p w14:paraId="25A0ACF9" w14:textId="77777777" w:rsidR="00E43161" w:rsidRDefault="00E43161" w:rsidP="00E43161">
      <w:pPr>
        <w:pStyle w:val="font-claude-response-body"/>
      </w:pPr>
      <w:r>
        <w:t>The paper's central argument is counterintuitive: as EU trade agreements become greener on paper, their capacity to reshape extractive export models does not necessarily increase—and may actually diminish when ecological ambition is traded against market access and geopolitical alignment. Sustainability chapters often function less as enforceable instruments of ecological transformation than as legitimacy devices and arenas of geopolitical bargaining. This tension is reinforced by parallel regulatory developments, notably the EU Deforestation Regulation, whose delayed and contested implementation provides independent confirmation that the EU's sustainability governance architecture is more fragile than its rhetoric suggests.</w:t>
      </w:r>
    </w:p>
    <w:p w14:paraId="2018A1F4" w14:textId="77777777" w:rsidR="00E43161" w:rsidRDefault="00E43161" w:rsidP="00E43161">
      <w:pPr>
        <w:pStyle w:val="font-claude-response-body"/>
      </w:pPr>
      <w:r>
        <w:t>By analysing treaty text, enforcement design, and sectoral political economy across both agreements, drawing on primary documentary sources and comparative institutional analysis, the paper shows that "green trade" is increasingly contested from within Europe and across the Global South. The result is not a coherent model of green integration, but a fragmented and hierarchical regime that can deepen asymmetries while exposing internal EU divisions. In this sense, the EU's Latin American agreements offer a critical lens on sustainability rollback as a transnational struggle over who bears the costs of decarbonisation and environmental compliance in global value chains—a struggle the EU's current trade architecture is structurally ill-equipped to resolve.</w:t>
      </w:r>
    </w:p>
    <w:p w14:paraId="6C09CAC8" w14:textId="77777777" w:rsidR="00E43161" w:rsidRDefault="00E43161" w:rsidP="00E43161">
      <w:pPr>
        <w:pStyle w:val="font-claude-response-body"/>
      </w:pPr>
      <w:r>
        <w:rPr>
          <w:rStyle w:val="lev"/>
        </w:rPr>
        <w:t>Keywords:</w:t>
      </w:r>
      <w:r>
        <w:t xml:space="preserve"> European integration, trade policy, EU–Mercosur, EU–Andean agreement, sustainability governance, deforestation, Green Deal, externalisation, EU Deforestation Regulation, environmental justice, global value chains</w:t>
      </w:r>
    </w:p>
    <w:p w14:paraId="6E64532D" w14:textId="77777777" w:rsidR="00E43161" w:rsidRDefault="00E43161"/>
    <w:p w14:paraId="094B8C68" w14:textId="77777777" w:rsidR="004B3B87" w:rsidRDefault="004B3B87" w:rsidP="004B3B87">
      <w:pPr>
        <w:pStyle w:val="font-claude-response-body"/>
      </w:pPr>
      <w:r>
        <w:rPr>
          <w:rStyle w:val="lev"/>
        </w:rPr>
        <w:t>Author Instructions: Routledge Handbook of European Integrations, Volume 2</w:t>
      </w:r>
    </w:p>
    <w:p w14:paraId="32562FF9" w14:textId="77777777" w:rsidR="004B3B87" w:rsidRDefault="004B3B87" w:rsidP="004B3B87">
      <w:pPr>
        <w:pStyle w:val="font-claude-response-body"/>
      </w:pPr>
      <w:r>
        <w:rPr>
          <w:rStyle w:val="lev"/>
        </w:rPr>
        <w:t>Chapter title:</w:t>
      </w:r>
      <w:r>
        <w:t xml:space="preserve"> Green Integration by Contradiction: EU Trade Policy and Latin America</w:t>
      </w:r>
    </w:p>
    <w:p w14:paraId="2F7B3428" w14:textId="77777777" w:rsidR="004B3B87" w:rsidRDefault="0043227A" w:rsidP="004B3B87">
      <w:r w:rsidRPr="0043227A">
        <w:rPr>
          <w:noProof/>
          <w14:ligatures w14:val="standardContextual"/>
        </w:rPr>
        <w:pict w14:anchorId="29E51257">
          <v:rect id="_x0000_i1032" alt="" style="width:451.3pt;height:.05pt;mso-width-percent:0;mso-height-percent:0;mso-width-percent:0;mso-height-percent:0" o:hralign="center" o:hrstd="t" o:hr="t" fillcolor="#a0a0a0" stroked="f"/>
        </w:pict>
      </w:r>
    </w:p>
    <w:p w14:paraId="248CAE10" w14:textId="77777777" w:rsidR="004B3B87" w:rsidRDefault="004B3B87" w:rsidP="004B3B87">
      <w:pPr>
        <w:pStyle w:val="font-claude-response-body"/>
      </w:pPr>
      <w:r>
        <w:rPr>
          <w:rStyle w:val="lev"/>
        </w:rPr>
        <w:lastRenderedPageBreak/>
        <w:t>Word count and structure</w:t>
      </w:r>
    </w:p>
    <w:p w14:paraId="43FE52E3" w14:textId="77777777" w:rsidR="004B3B87" w:rsidRDefault="004B3B87" w:rsidP="004B3B87">
      <w:pPr>
        <w:pStyle w:val="font-claude-response-body"/>
      </w:pPr>
      <w:r>
        <w:t>The chapter should be between 7,000 and 8,000 words, excluding abstract, keywords, and references. This word count should be distributed approximately as follows:</w:t>
      </w:r>
    </w:p>
    <w:p w14:paraId="0EBE955A" w14:textId="77777777" w:rsidR="004B3B87" w:rsidRDefault="004B3B87" w:rsidP="004B3B87">
      <w:pPr>
        <w:pStyle w:val="font-claude-response-body"/>
        <w:numPr>
          <w:ilvl w:val="0"/>
          <w:numId w:val="3"/>
        </w:numPr>
      </w:pPr>
      <w:r>
        <w:t>Introduction (600–700 words): establish the externalisation framework, situate the chapter within the handbook's broader theme of European integration, and state the counterintuitive argument clearly.</w:t>
      </w:r>
    </w:p>
    <w:p w14:paraId="40744ABA" w14:textId="77777777" w:rsidR="004B3B87" w:rsidRDefault="004B3B87" w:rsidP="004B3B87">
      <w:pPr>
        <w:pStyle w:val="font-claude-response-body"/>
        <w:numPr>
          <w:ilvl w:val="0"/>
          <w:numId w:val="3"/>
        </w:numPr>
      </w:pPr>
      <w:r>
        <w:t>Conceptual framework (1,000–1,200 words): develop the concept of integration by externalisation and its relationship to sustainability governance; engage with the normative power Europe literature and relevant trade-environment scholarship.</w:t>
      </w:r>
    </w:p>
    <w:p w14:paraId="4863A1C7" w14:textId="77777777" w:rsidR="004B3B87" w:rsidRDefault="004B3B87" w:rsidP="004B3B87">
      <w:pPr>
        <w:pStyle w:val="font-claude-response-body"/>
        <w:numPr>
          <w:ilvl w:val="0"/>
          <w:numId w:val="3"/>
        </w:numPr>
      </w:pPr>
      <w:r>
        <w:t>Case one — EU–Andean Agreement (1,500–1,800 words): negotiating history, sustainability provisions, ex post evaluation design, and sectoral political economy; explain why this case has remained depoliticised and what that reveals analytically.</w:t>
      </w:r>
    </w:p>
    <w:p w14:paraId="314231D3" w14:textId="77777777" w:rsidR="004B3B87" w:rsidRDefault="004B3B87" w:rsidP="004B3B87">
      <w:pPr>
        <w:pStyle w:val="font-claude-response-body"/>
        <w:numPr>
          <w:ilvl w:val="0"/>
          <w:numId w:val="3"/>
        </w:numPr>
      </w:pPr>
      <w:r>
        <w:t>Case two — EU–Mercosur Agreement (1,800–2,000 words): negotiating trajectory, the December 2024 political conclusion, sustainability chapter analysis, deforestation and land-use politics, and the credibility crisis of the Green Deal; this is the empirically heavier case and warrants the additional space.</w:t>
      </w:r>
    </w:p>
    <w:p w14:paraId="537E4005" w14:textId="77777777" w:rsidR="004B3B87" w:rsidRDefault="004B3B87" w:rsidP="004B3B87">
      <w:pPr>
        <w:pStyle w:val="font-claude-response-body"/>
        <w:numPr>
          <w:ilvl w:val="0"/>
          <w:numId w:val="3"/>
        </w:numPr>
      </w:pPr>
      <w:r>
        <w:t>Cross-case analysis (1,200–1,500 words): develop the asymmetric greening argument comparatively; bring in the EU Deforestation Regulation as parallel evidence; address the legitimacy device thesis directly.</w:t>
      </w:r>
    </w:p>
    <w:p w14:paraId="2D6AEDE3" w14:textId="77777777" w:rsidR="004B3B87" w:rsidRDefault="004B3B87" w:rsidP="004B3B87">
      <w:pPr>
        <w:pStyle w:val="font-claude-response-body"/>
        <w:numPr>
          <w:ilvl w:val="0"/>
          <w:numId w:val="3"/>
        </w:numPr>
      </w:pPr>
      <w:r>
        <w:t>Conclusion (500–600 words): situate findings within the handbook's sustainability rollback theme; identify implications for EU trade architecture and for who bears decarbonisation costs in global value chains.</w:t>
      </w:r>
    </w:p>
    <w:p w14:paraId="7A34F0C8" w14:textId="77777777" w:rsidR="004B3B87" w:rsidRDefault="0043227A" w:rsidP="004B3B87">
      <w:r w:rsidRPr="0043227A">
        <w:rPr>
          <w:noProof/>
          <w14:ligatures w14:val="standardContextual"/>
        </w:rPr>
        <w:pict w14:anchorId="7178D923">
          <v:rect id="_x0000_i1031" alt="" style="width:451.3pt;height:.05pt;mso-width-percent:0;mso-height-percent:0;mso-width-percent:0;mso-height-percent:0" o:hralign="center" o:hrstd="t" o:hr="t" fillcolor="#a0a0a0" stroked="f"/>
        </w:pict>
      </w:r>
    </w:p>
    <w:p w14:paraId="5C062842" w14:textId="77777777" w:rsidR="004B3B87" w:rsidRDefault="004B3B87" w:rsidP="004B3B87">
      <w:pPr>
        <w:pStyle w:val="font-claude-response-body"/>
      </w:pPr>
      <w:r>
        <w:rPr>
          <w:rStyle w:val="lev"/>
        </w:rPr>
        <w:t>Referencing and style</w:t>
      </w:r>
    </w:p>
    <w:p w14:paraId="734352B3" w14:textId="77777777" w:rsidR="004B3B87" w:rsidRDefault="004B3B87" w:rsidP="004B3B87">
      <w:pPr>
        <w:pStyle w:val="font-claude-response-body"/>
      </w:pPr>
      <w:r>
        <w:t>Follow the Chicago Author-Date referencing system throughout, as standard for Routledge political science handbooks. In-text citations should take the form (Author Year, page) where page numbers are relevant. A full reference list should appear at the end of the chapter, not footnotes.</w:t>
      </w:r>
    </w:p>
    <w:p w14:paraId="78C89E5A" w14:textId="77777777" w:rsidR="004B3B87" w:rsidRDefault="004B3B87" w:rsidP="004B3B87">
      <w:pPr>
        <w:pStyle w:val="font-claude-response-body"/>
      </w:pPr>
      <w:r>
        <w:t>Use British English spelling throughout (organisation, not organization; colour, not color; recognise, not recognize).</w:t>
      </w:r>
    </w:p>
    <w:p w14:paraId="436FD02A" w14:textId="77777777" w:rsidR="004B3B87" w:rsidRDefault="004B3B87" w:rsidP="004B3B87">
      <w:pPr>
        <w:pStyle w:val="font-claude-response-body"/>
      </w:pPr>
      <w:r>
        <w:t>Avoid excessive subheadings. Each section should be introduced with a clear signposting sentence rather than relying on headers to carry the argumentative logic. Where subheadings are used, they should be descriptive rather than merely labelling (e.g. "Why Sustainability Chapters Fail to Bind" rather than "Analysis").</w:t>
      </w:r>
    </w:p>
    <w:p w14:paraId="3391C3A2" w14:textId="77777777" w:rsidR="004B3B87" w:rsidRDefault="0043227A" w:rsidP="004B3B87">
      <w:r w:rsidRPr="0043227A">
        <w:rPr>
          <w:noProof/>
          <w14:ligatures w14:val="standardContextual"/>
        </w:rPr>
        <w:pict w14:anchorId="45C5C7C5">
          <v:rect id="_x0000_i1030" alt="" style="width:451.3pt;height:.05pt;mso-width-percent:0;mso-height-percent:0;mso-width-percent:0;mso-height-percent:0" o:hralign="center" o:hrstd="t" o:hr="t" fillcolor="#a0a0a0" stroked="f"/>
        </w:pict>
      </w:r>
    </w:p>
    <w:p w14:paraId="7A0AF8A9" w14:textId="77777777" w:rsidR="004B3B87" w:rsidRDefault="004B3B87" w:rsidP="004B3B87">
      <w:pPr>
        <w:pStyle w:val="font-claude-response-body"/>
      </w:pPr>
      <w:r>
        <w:rPr>
          <w:rStyle w:val="lev"/>
        </w:rPr>
        <w:t>Tables, figures, and boxes</w:t>
      </w:r>
    </w:p>
    <w:p w14:paraId="11F2714B" w14:textId="77777777" w:rsidR="004B3B87" w:rsidRDefault="004B3B87" w:rsidP="004B3B87">
      <w:pPr>
        <w:pStyle w:val="font-claude-response-body"/>
      </w:pPr>
      <w:r>
        <w:t>Up to two tables or figures are acceptable and encouraged. Suggested candidates:</w:t>
      </w:r>
    </w:p>
    <w:p w14:paraId="1CF11481" w14:textId="77777777" w:rsidR="004B3B87" w:rsidRDefault="004B3B87" w:rsidP="004B3B87">
      <w:pPr>
        <w:pStyle w:val="font-claude-response-body"/>
        <w:numPr>
          <w:ilvl w:val="0"/>
          <w:numId w:val="4"/>
        </w:numPr>
      </w:pPr>
      <w:r>
        <w:lastRenderedPageBreak/>
        <w:t>A comparative table of sustainability provisions across the two agreements (enforcement mechanisms, dispute resolution, conditionality design, sectoral coverage).</w:t>
      </w:r>
    </w:p>
    <w:p w14:paraId="67AC4C90" w14:textId="77777777" w:rsidR="004B3B87" w:rsidRDefault="004B3B87" w:rsidP="004B3B87">
      <w:pPr>
        <w:pStyle w:val="font-claude-response-body"/>
        <w:numPr>
          <w:ilvl w:val="0"/>
          <w:numId w:val="4"/>
        </w:numPr>
      </w:pPr>
      <w:r>
        <w:t>A timeline figure of the EU–Mercosur negotiating history mapped against key environmental events (Amazon fire seasons, EUDR adoption and delay, Green Deal milestones).</w:t>
      </w:r>
    </w:p>
    <w:p w14:paraId="580216E3" w14:textId="77777777" w:rsidR="004B3B87" w:rsidRDefault="004B3B87" w:rsidP="004B3B87">
      <w:pPr>
        <w:pStyle w:val="font-claude-response-body"/>
      </w:pPr>
      <w:r>
        <w:t>All tables and figures must be original, properly titled, and accompanied by a source note. If adapted from existing sources, permissions must be cleared by the author prior to submission.</w:t>
      </w:r>
    </w:p>
    <w:p w14:paraId="6334F5DA" w14:textId="77777777" w:rsidR="004B3B87" w:rsidRDefault="0043227A" w:rsidP="004B3B87">
      <w:r w:rsidRPr="0043227A">
        <w:rPr>
          <w:noProof/>
          <w14:ligatures w14:val="standardContextual"/>
        </w:rPr>
        <w:pict w14:anchorId="2C5715EC">
          <v:rect id="_x0000_i1029" alt="" style="width:451.3pt;height:.05pt;mso-width-percent:0;mso-height-percent:0;mso-width-percent:0;mso-height-percent:0" o:hralign="center" o:hrstd="t" o:hr="t" fillcolor="#a0a0a0" stroked="f"/>
        </w:pict>
      </w:r>
    </w:p>
    <w:p w14:paraId="01C8A1E9" w14:textId="77777777" w:rsidR="004B3B87" w:rsidRDefault="004B3B87" w:rsidP="004B3B87">
      <w:pPr>
        <w:pStyle w:val="font-claude-response-body"/>
      </w:pPr>
      <w:r>
        <w:rPr>
          <w:rStyle w:val="lev"/>
        </w:rPr>
        <w:t>Abstract and keywords</w:t>
      </w:r>
    </w:p>
    <w:p w14:paraId="08F828D6" w14:textId="77777777" w:rsidR="004B3B87" w:rsidRDefault="004B3B87" w:rsidP="004B3B87">
      <w:pPr>
        <w:pStyle w:val="font-claude-response-body"/>
      </w:pPr>
      <w:r>
        <w:t>The abstract is finalised as submitted (284 words). Keywords are: European integration, trade policy, EU–Mercosur, EU–Andean agreement, sustainability governance, deforestation, Green Deal, externalisation, EU Deforestation Regulation, environmental justice, global value chains.</w:t>
      </w:r>
    </w:p>
    <w:p w14:paraId="33434E45" w14:textId="77777777" w:rsidR="004B3B87" w:rsidRDefault="004B3B87" w:rsidP="004B3B87">
      <w:pPr>
        <w:pStyle w:val="font-claude-response-body"/>
      </w:pPr>
      <w:r>
        <w:t>No changes to the abstract or keywords should be made without consulting the volume editors.</w:t>
      </w:r>
    </w:p>
    <w:p w14:paraId="381E8433" w14:textId="77777777" w:rsidR="004B3B87" w:rsidRDefault="0043227A" w:rsidP="004B3B87">
      <w:r w:rsidRPr="0043227A">
        <w:rPr>
          <w:noProof/>
          <w14:ligatures w14:val="standardContextual"/>
        </w:rPr>
        <w:pict w14:anchorId="621785EB">
          <v:rect id="_x0000_i1028" alt="" style="width:451.3pt;height:.05pt;mso-width-percent:0;mso-height-percent:0;mso-width-percent:0;mso-height-percent:0" o:hralign="center" o:hrstd="t" o:hr="t" fillcolor="#a0a0a0" stroked="f"/>
        </w:pict>
      </w:r>
    </w:p>
    <w:p w14:paraId="05C26CA3" w14:textId="77777777" w:rsidR="004B3B87" w:rsidRDefault="004B3B87" w:rsidP="004B3B87">
      <w:pPr>
        <w:pStyle w:val="font-claude-response-body"/>
      </w:pPr>
      <w:r>
        <w:rPr>
          <w:rStyle w:val="lev"/>
        </w:rPr>
        <w:t>Positioning within the handbook</w:t>
      </w:r>
    </w:p>
    <w:p w14:paraId="0ECE6BC1" w14:textId="77777777" w:rsidR="004B3B87" w:rsidRDefault="004B3B87" w:rsidP="004B3B87">
      <w:pPr>
        <w:pStyle w:val="font-claude-response-body"/>
      </w:pPr>
      <w:r>
        <w:t>The chapter sits within the handbook's section on sustainability, external relations, and integration. Authors should avoid extensive overlap with adjacent chapters on the Green Deal (domestic dimension) and on EU normative power (general), but may cross-reference them where relevant. The distinctive contribution of this chapter is the trade policy angle, the Latin America focus, and the externalisation framework — these should remain central throughout.</w:t>
      </w:r>
    </w:p>
    <w:p w14:paraId="200889FB" w14:textId="77777777" w:rsidR="004B3B87" w:rsidRDefault="004B3B87" w:rsidP="004B3B87">
      <w:pPr>
        <w:pStyle w:val="font-claude-response-body"/>
      </w:pPr>
      <w:r>
        <w:t>The chapter should be written for an advanced academic audience — postgraduate students, researchers, and policy scholars — who are familiar with European integration but may not be specialists in EU trade law or Latin American political economy. Technical concepts (sustainability chapters, ex post evaluation, trade conditionality) should be briefly explained on first use without being over-defined.</w:t>
      </w:r>
    </w:p>
    <w:p w14:paraId="02A224E0" w14:textId="77777777" w:rsidR="004B3B87" w:rsidRDefault="0043227A" w:rsidP="004B3B87">
      <w:r w:rsidRPr="0043227A">
        <w:rPr>
          <w:noProof/>
          <w14:ligatures w14:val="standardContextual"/>
        </w:rPr>
        <w:pict w14:anchorId="5F955A77">
          <v:rect id="_x0000_i1027" alt="" style="width:451.3pt;height:.05pt;mso-width-percent:0;mso-height-percent:0;mso-width-percent:0;mso-height-percent:0" o:hralign="center" o:hrstd="t" o:hr="t" fillcolor="#a0a0a0" stroked="f"/>
        </w:pict>
      </w:r>
    </w:p>
    <w:p w14:paraId="216D4BD1" w14:textId="77777777" w:rsidR="004B3B87" w:rsidRDefault="004B3B87" w:rsidP="004B3B87">
      <w:pPr>
        <w:pStyle w:val="font-claude-response-body"/>
      </w:pPr>
      <w:r>
        <w:rPr>
          <w:rStyle w:val="lev"/>
        </w:rPr>
        <w:t>Tone and argument</w:t>
      </w:r>
    </w:p>
    <w:p w14:paraId="79024B5E" w14:textId="77777777" w:rsidR="004B3B87" w:rsidRDefault="004B3B87" w:rsidP="004B3B87">
      <w:pPr>
        <w:pStyle w:val="font-claude-response-body"/>
      </w:pPr>
      <w:r>
        <w:t>The chapter should sustain the counterintuitive argument established in the abstract throughout. Avoid retreating into descriptive summary of the agreements, particularly in the case study sections. The analytical thread — that greener text does not produce greener outcomes, and that sustainability chapters function as legitimacy devices — should be visible in every section, not only in the introduction and conclusion.</w:t>
      </w:r>
    </w:p>
    <w:p w14:paraId="68126010" w14:textId="77777777" w:rsidR="004B3B87" w:rsidRDefault="004B3B87" w:rsidP="004B3B87">
      <w:pPr>
        <w:pStyle w:val="font-claude-response-body"/>
      </w:pPr>
      <w:r>
        <w:t xml:space="preserve">The normative stakes (who bears the costs of decarbonisation; deepening North-South asymmetries) should be present but restrained. This is an analytical chapter, not an advocacy </w:t>
      </w:r>
      <w:r>
        <w:lastRenderedPageBreak/>
        <w:t>document. The conclusion may open toward normative implications but should not overreach beyond what the evidence supports.</w:t>
      </w:r>
    </w:p>
    <w:p w14:paraId="23FC3CE0" w14:textId="77777777" w:rsidR="004B3B87" w:rsidRDefault="0043227A" w:rsidP="004B3B87">
      <w:r w:rsidRPr="0043227A">
        <w:rPr>
          <w:noProof/>
          <w14:ligatures w14:val="standardContextual"/>
        </w:rPr>
        <w:pict w14:anchorId="7BEE2563">
          <v:rect id="_x0000_i1026" alt="" style="width:451.3pt;height:.05pt;mso-width-percent:0;mso-height-percent:0;mso-width-percent:0;mso-height-percent:0" o:hralign="center" o:hrstd="t" o:hr="t" fillcolor="#a0a0a0" stroked="f"/>
        </w:pict>
      </w:r>
    </w:p>
    <w:p w14:paraId="1EB828E8" w14:textId="77777777" w:rsidR="004B3B87" w:rsidRDefault="004B3B87" w:rsidP="004B3B87">
      <w:pPr>
        <w:pStyle w:val="font-claude-response-body"/>
      </w:pPr>
      <w:r>
        <w:rPr>
          <w:rStyle w:val="lev"/>
        </w:rPr>
        <w:t>Submission</w:t>
      </w:r>
    </w:p>
    <w:p w14:paraId="1A06035B" w14:textId="77777777" w:rsidR="004B3B87" w:rsidRDefault="004B3B87" w:rsidP="004B3B87">
      <w:pPr>
        <w:pStyle w:val="font-claude-response-body"/>
      </w:pPr>
      <w:r>
        <w:t>Submit as a single Word document (.docx). File name format: SURNAME_GreenIntegration_RHandbook_V2. Include the finalised abstract and keywords on the title page, followed by the main text, then the reference list, then any tables or figures as separate pages at the end. Do not embed figures in the text body at submission stage.</w:t>
      </w:r>
    </w:p>
    <w:p w14:paraId="73BB80F0" w14:textId="77777777" w:rsidR="004B3B87" w:rsidRDefault="0043227A" w:rsidP="004B3B87">
      <w:r w:rsidRPr="0043227A">
        <w:rPr>
          <w:noProof/>
          <w14:ligatures w14:val="standardContextual"/>
        </w:rPr>
        <w:pict w14:anchorId="57C66D2B">
          <v:rect id="_x0000_i1025" alt="" style="width:451.3pt;height:.05pt;mso-width-percent:0;mso-height-percent:0;mso-width-percent:0;mso-height-percent:0" o:hralign="center" o:hrstd="t" o:hr="t" fillcolor="#a0a0a0" stroked="f"/>
        </w:pict>
      </w:r>
    </w:p>
    <w:p w14:paraId="7B4E70F1" w14:textId="77777777" w:rsidR="004B3B87" w:rsidRDefault="004B3B87" w:rsidP="004B3B87">
      <w:pPr>
        <w:pStyle w:val="font-claude-response-body"/>
      </w:pPr>
      <w:r>
        <w:t>A few notes on the choices made here: the word count allocation gives Mercosur slightly more space than Andean, which reflects both its empirical complexity and its centrality to the argument. The suggestion to include a comparative provisions table is worth prioritising — reviewers and readers of handbooks consistently find these useful, and it would allow the cross-case analysis section to focus on interpretation rather than description. The EUDR timeline figure, if feasible, would be genuinely original and visually distinctive in a handbook context.</w:t>
      </w:r>
    </w:p>
    <w:p w14:paraId="1744E3C6" w14:textId="77777777" w:rsidR="004B3B87" w:rsidRDefault="004B3B87"/>
    <w:sectPr w:rsidR="004B3B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BF33BB"/>
    <w:multiLevelType w:val="multilevel"/>
    <w:tmpl w:val="8148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96858"/>
    <w:multiLevelType w:val="multilevel"/>
    <w:tmpl w:val="A754F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E23CC"/>
    <w:multiLevelType w:val="multilevel"/>
    <w:tmpl w:val="1A82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8F66E1"/>
    <w:multiLevelType w:val="multilevel"/>
    <w:tmpl w:val="1B06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2452362">
    <w:abstractNumId w:val="3"/>
  </w:num>
  <w:num w:numId="2" w16cid:durableId="1603027179">
    <w:abstractNumId w:val="1"/>
  </w:num>
  <w:num w:numId="3" w16cid:durableId="1253313970">
    <w:abstractNumId w:val="0"/>
  </w:num>
  <w:num w:numId="4" w16cid:durableId="39813272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A07"/>
    <w:rsid w:val="00091FDE"/>
    <w:rsid w:val="0043227A"/>
    <w:rsid w:val="004B3B87"/>
    <w:rsid w:val="00521AE1"/>
    <w:rsid w:val="00577A07"/>
    <w:rsid w:val="006B0930"/>
    <w:rsid w:val="00CD78B8"/>
    <w:rsid w:val="00E43161"/>
    <w:rsid w:val="00E72E8E"/>
  </w:rsids>
  <m:mathPr>
    <m:mathFont m:val="Cambria Math"/>
    <m:brkBin m:val="before"/>
    <m:brkBinSub m:val="--"/>
    <m:smallFrac m:val="0"/>
    <m:dispDef/>
    <m:lMargin m:val="0"/>
    <m:rMargin m:val="0"/>
    <m:defJc m:val="centerGroup"/>
    <m:wrapIndent m:val="1440"/>
    <m:intLim m:val="subSup"/>
    <m:naryLim m:val="undOvr"/>
  </m:mathPr>
  <w:themeFontLang w:val="fr-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5320A"/>
  <w15:chartTrackingRefBased/>
  <w15:docId w15:val="{2D710168-5DEB-2E46-A5CC-E040F89C2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B87"/>
    <w:pPr>
      <w:spacing w:after="0" w:line="240" w:lineRule="auto"/>
    </w:pPr>
    <w:rPr>
      <w:rFonts w:ascii="Times New Roman" w:eastAsia="Times New Roman" w:hAnsi="Times New Roman" w:cs="Times New Roman"/>
      <w:kern w:val="0"/>
      <w:lang w:eastAsia="fr-FR"/>
      <w14:ligatures w14:val="none"/>
    </w:rPr>
  </w:style>
  <w:style w:type="paragraph" w:styleId="Titre1">
    <w:name w:val="heading 1"/>
    <w:basedOn w:val="Normal"/>
    <w:next w:val="Normal"/>
    <w:link w:val="Titre1Car"/>
    <w:uiPriority w:val="9"/>
    <w:qFormat/>
    <w:rsid w:val="00577A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577A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577A0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577A0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77A0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77A07"/>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77A07"/>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77A07"/>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77A07"/>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77A0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577A0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577A0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577A0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77A0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77A0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77A0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77A0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77A07"/>
    <w:rPr>
      <w:rFonts w:eastAsiaTheme="majorEastAsia" w:cstheme="majorBidi"/>
      <w:color w:val="272727" w:themeColor="text1" w:themeTint="D8"/>
    </w:rPr>
  </w:style>
  <w:style w:type="paragraph" w:styleId="Titre">
    <w:name w:val="Title"/>
    <w:basedOn w:val="Normal"/>
    <w:next w:val="Normal"/>
    <w:link w:val="TitreCar"/>
    <w:uiPriority w:val="10"/>
    <w:qFormat/>
    <w:rsid w:val="00577A07"/>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77A0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77A0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77A0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77A07"/>
    <w:pPr>
      <w:spacing w:before="160"/>
      <w:jc w:val="center"/>
    </w:pPr>
    <w:rPr>
      <w:i/>
      <w:iCs/>
      <w:color w:val="404040" w:themeColor="text1" w:themeTint="BF"/>
    </w:rPr>
  </w:style>
  <w:style w:type="character" w:customStyle="1" w:styleId="CitationCar">
    <w:name w:val="Citation Car"/>
    <w:basedOn w:val="Policepardfaut"/>
    <w:link w:val="Citation"/>
    <w:uiPriority w:val="29"/>
    <w:rsid w:val="00577A07"/>
    <w:rPr>
      <w:i/>
      <w:iCs/>
      <w:color w:val="404040" w:themeColor="text1" w:themeTint="BF"/>
    </w:rPr>
  </w:style>
  <w:style w:type="paragraph" w:styleId="Paragraphedeliste">
    <w:name w:val="List Paragraph"/>
    <w:basedOn w:val="Normal"/>
    <w:uiPriority w:val="34"/>
    <w:qFormat/>
    <w:rsid w:val="00577A07"/>
    <w:pPr>
      <w:ind w:left="720"/>
      <w:contextualSpacing/>
    </w:pPr>
  </w:style>
  <w:style w:type="character" w:styleId="Accentuationintense">
    <w:name w:val="Intense Emphasis"/>
    <w:basedOn w:val="Policepardfaut"/>
    <w:uiPriority w:val="21"/>
    <w:qFormat/>
    <w:rsid w:val="00577A07"/>
    <w:rPr>
      <w:i/>
      <w:iCs/>
      <w:color w:val="2F5496" w:themeColor="accent1" w:themeShade="BF"/>
    </w:rPr>
  </w:style>
  <w:style w:type="paragraph" w:styleId="Citationintense">
    <w:name w:val="Intense Quote"/>
    <w:basedOn w:val="Normal"/>
    <w:next w:val="Normal"/>
    <w:link w:val="CitationintenseCar"/>
    <w:uiPriority w:val="30"/>
    <w:qFormat/>
    <w:rsid w:val="00577A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77A07"/>
    <w:rPr>
      <w:i/>
      <w:iCs/>
      <w:color w:val="2F5496" w:themeColor="accent1" w:themeShade="BF"/>
    </w:rPr>
  </w:style>
  <w:style w:type="character" w:styleId="Rfrenceintense">
    <w:name w:val="Intense Reference"/>
    <w:basedOn w:val="Policepardfaut"/>
    <w:uiPriority w:val="32"/>
    <w:qFormat/>
    <w:rsid w:val="00577A07"/>
    <w:rPr>
      <w:b/>
      <w:bCs/>
      <w:smallCaps/>
      <w:color w:val="2F5496" w:themeColor="accent1" w:themeShade="BF"/>
      <w:spacing w:val="5"/>
    </w:rPr>
  </w:style>
  <w:style w:type="paragraph" w:customStyle="1" w:styleId="whitespace-pre-wrap">
    <w:name w:val="whitespace-pre-wrap"/>
    <w:basedOn w:val="Normal"/>
    <w:rsid w:val="00577A07"/>
    <w:pPr>
      <w:spacing w:before="100" w:beforeAutospacing="1" w:after="100" w:afterAutospacing="1"/>
    </w:pPr>
  </w:style>
  <w:style w:type="paragraph" w:customStyle="1" w:styleId="font-claude-response-body">
    <w:name w:val="font-claude-response-body"/>
    <w:basedOn w:val="Normal"/>
    <w:rsid w:val="00577A07"/>
    <w:pPr>
      <w:spacing w:before="100" w:beforeAutospacing="1" w:after="100" w:afterAutospacing="1"/>
    </w:pPr>
  </w:style>
  <w:style w:type="character" w:styleId="lev">
    <w:name w:val="Strong"/>
    <w:basedOn w:val="Policepardfaut"/>
    <w:uiPriority w:val="22"/>
    <w:qFormat/>
    <w:rsid w:val="00577A07"/>
    <w:rPr>
      <w:b/>
      <w:bCs/>
    </w:rPr>
  </w:style>
  <w:style w:type="character" w:styleId="Accentuation">
    <w:name w:val="Emphasis"/>
    <w:basedOn w:val="Policepardfaut"/>
    <w:uiPriority w:val="20"/>
    <w:qFormat/>
    <w:rsid w:val="00577A07"/>
    <w:rPr>
      <w:i/>
      <w:iCs/>
    </w:rPr>
  </w:style>
  <w:style w:type="character" w:customStyle="1" w:styleId="1cs5bdp">
    <w:name w:val="___1cs5bdp"/>
    <w:basedOn w:val="Policepardfaut"/>
    <w:rsid w:val="00E43161"/>
  </w:style>
  <w:style w:type="character" w:customStyle="1" w:styleId="xxxjie0">
    <w:name w:val="___xxxjie0"/>
    <w:basedOn w:val="Policepardfaut"/>
    <w:rsid w:val="00E43161"/>
  </w:style>
  <w:style w:type="paragraph" w:styleId="NormalWeb">
    <w:name w:val="Normal (Web)"/>
    <w:basedOn w:val="Normal"/>
    <w:uiPriority w:val="99"/>
    <w:semiHidden/>
    <w:unhideWhenUsed/>
    <w:rsid w:val="00E4316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1409</Words>
  <Characters>7750</Characters>
  <Application>Microsoft Office Word</Application>
  <DocSecurity>0</DocSecurity>
  <Lines>64</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WEBER Gabriel</dc:creator>
  <cp:keywords/>
  <dc:description/>
  <cp:lastModifiedBy>WEBER Gabriel</cp:lastModifiedBy>
  <cp:revision>2</cp:revision>
  <dcterms:created xsi:type="dcterms:W3CDTF">2026-07-09T04:58:00Z</dcterms:created>
  <dcterms:modified xsi:type="dcterms:W3CDTF">2026-07-09T04:58:00Z</dcterms:modified>
</cp:coreProperties>
</file>