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eastAsia="Arial"/>
          <w:b/>
          <w:color w:val="2F5597"/>
          <w:sz w:val="32"/>
        </w:rPr>
        <w:t>Updated Results and Discussion</w:t>
      </w:r>
    </w:p>
    <w:p>
      <w:pPr>
        <w:jc w:val="center"/>
      </w:pPr>
      <w:r>
        <w:rPr>
          <w:rFonts w:ascii="Arial" w:hAnsi="Arial" w:eastAsia="Arial"/>
          <w:i/>
          <w:sz w:val="20"/>
        </w:rPr>
        <w:t>Audit-aligned version based on the updated mapped scientific articles and Colombian documentary sources</w:t>
      </w:r>
    </w:p>
    <w:p/>
    <w:p>
      <w:pPr>
        <w:pStyle w:val="Heading2"/>
        <w:spacing w:before="160" w:after="80"/>
      </w:pPr>
      <w:r>
        <w:t>a. An asymmetric comparison: a documented benchmark and a partially consolidated route system</w:t>
      </w:r>
    </w:p>
    <w:p>
      <w:pPr>
        <w:spacing w:after="120" w:line="240" w:lineRule="auto"/>
      </w:pPr>
      <w:r>
        <w:t>A first analytical result is evidentiary rather than descriptive. The benchmark corpus associated with the Camino de Santiago and related heritage-route systems permits a comparatively granular discussion of user motivations, wellbeing outcomes, resilience, stakeholder coordination, carrying-capacity management, route operability, and destination competitiveness (Aas et al., 2005; Amaro et al., 2018; Buhalis, 2020; Grocutt &amp; Wood, 2025; Kuniyal et al., 2025; Mroz, 2021). By contrast, the Camino de Lengerke cannot yet be examined with the same empirical depth. Its current documentary base is uneven, and the case therefore has to be interpreted through an explicit hierarchy of evidence rather than through assumptions of equivalence.</w:t>
      </w:r>
    </w:p>
    <w:p>
      <w:pPr>
        <w:spacing w:after="120" w:line="240" w:lineRule="auto"/>
      </w:pPr>
      <w:r>
        <w:t>Within that hierarchy, the Barichara–Guane corridor constitutes the strongest anchor of the Colombian case. Resolution 0688 of 2015 formally approves the protection framework for the historic center of Barichara, the Camino de Guane, and their zones of influence, thereby establishing an obligatory management scope for intervention and conservation (Ministerio de Cultura de Colombia, 2015). This legal basis is reinforced by the ICOMOS Colombia registry, which identifies the Camino Real de Barichara a Guane and explicitly links it to the same protection framework (ICOMOS Colombia, n.d.). Taken together, these two sources justify treating Barichara–Guane not simply as a remembered path but as a protected heritage route with a documented regulatory anchor.</w:t>
      </w:r>
    </w:p>
    <w:p>
      <w:pPr>
        <w:spacing w:after="120" w:line="240" w:lineRule="auto"/>
      </w:pPr>
      <w:r>
        <w:t>Beyond this core segment, however, the Camino de Lengerke rests on a more heterogeneous body of evidence. The UIS Caminos de Santander project is useful for reconstructing a wider documentary network by naming route segments such as Los Santos–Jordán, Cabrera–Barichara, San Vicente de Chucurí–Zapatoca, and Zapatoca–Puenteruedas (UIS Caminos de Santander, n.d.). Santander Travel preserves a broader regional sequence and contributes contextual support for corridor continuity and territorial narrative (Santander Travel, n.d.). Yet these sources do not provide the same legal or registry weight as the Barichara–Guane documentation. They are therefore analytically valuable for framing the route system, but insufficient on their own to sustain stronger claims about protection status, conservation quality, or route operability.</w:t>
      </w:r>
    </w:p>
    <w:p>
      <w:pPr>
        <w:spacing w:after="120" w:line="240" w:lineRule="auto"/>
      </w:pPr>
      <w:r>
        <w:t>This distinction is analytically important because route-based development narratives often rely on historical continuity to imply systemic consolidation. The available evidence suggests a more stratified configuration. The Camino de Lengerke is better understood as a partially consolidated heritage-route system that combines one formally protected and auditable segment with a wider documentary network whose broader territorial relevance is plausible but still unevenly evidenced. This configuration is sufficient to justify the route as an object of research and planning, yet insufficient to support strong claims about sustainability performance across the corridor as a whole.</w:t>
      </w:r>
    </w:p>
    <w:p>
      <w:pPr>
        <w:spacing w:after="120" w:line="240" w:lineRule="auto"/>
      </w:pPr>
      <w:r>
        <w:t>A final implication follows from this evidentiary structure. Colombia does not lack a national tourism statistics framework. On the contrary, official instruments already exist to monitor domestic tourism expenditure, hotel activity, and international travelers through the Survey of Domestic Tourism Expenditure (EGIT), the National Hotel Survey (ENH), and the International Travelers Survey (EVI) (DANE, n.d.). The key limitation lies at the route level, where no specific indicators are yet available to assess preservation conditions, accessibility, visitor experience, or territorial impacts in the Camino de Lengerke.</w:t>
      </w:r>
    </w:p>
    <w:p>
      <w:pPr>
        <w:sectPr>
          <w:pgSz w:w="12240" w:h="15840"/>
          <w:pgMar w:top="1008" w:right="1152" w:bottom="1008" w:left="1152" w:header="720" w:footer="720" w:gutter="0"/>
          <w:cols w:space="720"/>
          <w:docGrid w:linePitch="360"/>
        </w:sectPr>
      </w:pPr>
    </w:p>
    <w:p>
      <w:pPr>
        <w:jc w:val="center"/>
      </w:pPr>
      <w:r>
        <w:rPr>
          <w:rFonts w:ascii="Arial" w:hAnsi="Arial" w:eastAsia="Arial"/>
          <w:b/>
          <w:sz w:val="21"/>
        </w:rPr>
        <w:t>Table 2. Documentary status of the Camino de Lengerke system</w:t>
      </w:r>
    </w:p>
    <w:tbl>
      <w:tblPr>
        <w:tblStyle w:val="TableGrid"/>
        <w:tblW w:type="auto" w:w="0"/>
        <w:jc w:val="center"/>
        <w:tblLook w:firstColumn="1" w:firstRow="1" w:lastColumn="0" w:lastRow="0" w:noHBand="0" w:noVBand="1" w:val="04A0"/>
      </w:tblPr>
      <w:tblGrid>
        <w:gridCol w:w="3528"/>
        <w:gridCol w:w="3528"/>
        <w:gridCol w:w="3528"/>
        <w:gridCol w:w="3528"/>
      </w:tblGrid>
      <w:tr>
        <w:trPr>
          <w:tblHeader w:val="true"/>
        </w:trPr>
        <w:tc>
          <w:tcPr>
            <w:tcW w:type="dxa" w:w="3168"/>
            <w:vAlign w:val="center"/>
            <w:shd w:fill="D9EAF7"/>
          </w:tcPr>
          <w:p>
            <w:pPr>
              <w:spacing w:after="40" w:before="0" w:line="240" w:lineRule="auto"/>
            </w:pPr>
            <w:r>
              <w:rPr>
                <w:rFonts w:ascii="Arial" w:hAnsi="Arial" w:eastAsia="Arial"/>
                <w:b/>
                <w:sz w:val="18"/>
              </w:rPr>
              <w:t>Route element or evidence layer</w:t>
            </w:r>
          </w:p>
        </w:tc>
        <w:tc>
          <w:tcPr>
            <w:tcW w:type="dxa" w:w="2592"/>
            <w:vAlign w:val="center"/>
            <w:shd w:fill="D9EAF7"/>
          </w:tcPr>
          <w:p>
            <w:pPr>
              <w:spacing w:after="40" w:before="0" w:line="240" w:lineRule="auto"/>
            </w:pPr>
            <w:r>
              <w:rPr>
                <w:rFonts w:ascii="Arial" w:hAnsi="Arial" w:eastAsia="Arial"/>
                <w:b/>
                <w:sz w:val="18"/>
              </w:rPr>
              <w:t>Main source support</w:t>
            </w:r>
          </w:p>
        </w:tc>
        <w:tc>
          <w:tcPr>
            <w:tcW w:type="dxa" w:w="2016"/>
            <w:vAlign w:val="center"/>
            <w:shd w:fill="D9EAF7"/>
          </w:tcPr>
          <w:p>
            <w:pPr>
              <w:spacing w:after="40" w:before="0" w:line="240" w:lineRule="auto"/>
            </w:pPr>
            <w:r>
              <w:rPr>
                <w:rFonts w:ascii="Arial" w:hAnsi="Arial" w:eastAsia="Arial"/>
                <w:b/>
                <w:sz w:val="18"/>
              </w:rPr>
              <w:t>Evidential strength</w:t>
            </w:r>
          </w:p>
        </w:tc>
        <w:tc>
          <w:tcPr>
            <w:tcW w:type="dxa" w:w="6624"/>
            <w:vAlign w:val="center"/>
            <w:shd w:fill="D9EAF7"/>
          </w:tcPr>
          <w:p>
            <w:pPr>
              <w:spacing w:after="40" w:before="0" w:line="240" w:lineRule="auto"/>
            </w:pPr>
            <w:r>
              <w:rPr>
                <w:rFonts w:ascii="Arial" w:hAnsi="Arial" w:eastAsia="Arial"/>
                <w:b/>
                <w:sz w:val="18"/>
              </w:rPr>
              <w:t>Auditable interpretation</w:t>
            </w:r>
          </w:p>
        </w:tc>
      </w:tr>
      <w:tr>
        <w:trPr/>
        <w:tc>
          <w:tcPr>
            <w:tcW w:type="dxa" w:w="3168"/>
            <w:vAlign w:val="center"/>
          </w:tcPr>
          <w:p>
            <w:pPr>
              <w:spacing w:after="40" w:before="0" w:line="240" w:lineRule="auto"/>
            </w:pPr>
            <w:r>
              <w:rPr>
                <w:rFonts w:ascii="Arial" w:hAnsi="Arial" w:eastAsia="Arial"/>
                <w:sz w:val="18"/>
              </w:rPr>
              <w:t>Barichara–Guane protected segment</w:t>
            </w:r>
          </w:p>
        </w:tc>
        <w:tc>
          <w:tcPr>
            <w:tcW w:type="dxa" w:w="2592"/>
            <w:vAlign w:val="center"/>
          </w:tcPr>
          <w:p>
            <w:pPr>
              <w:spacing w:after="40" w:before="0" w:line="240" w:lineRule="auto"/>
            </w:pPr>
            <w:r>
              <w:rPr>
                <w:rFonts w:ascii="Arial" w:hAnsi="Arial" w:eastAsia="Arial"/>
                <w:sz w:val="18"/>
              </w:rPr>
              <w:t>Resolution 0688 of 2015; ICOMOS Colombia registry</w:t>
            </w:r>
          </w:p>
        </w:tc>
        <w:tc>
          <w:tcPr>
            <w:tcW w:type="dxa" w:w="2016"/>
            <w:vAlign w:val="center"/>
          </w:tcPr>
          <w:p>
            <w:pPr>
              <w:spacing w:after="40" w:before="0" w:line="240" w:lineRule="auto"/>
            </w:pPr>
            <w:r>
              <w:rPr>
                <w:rFonts w:ascii="Arial" w:hAnsi="Arial" w:eastAsia="Arial"/>
                <w:sz w:val="18"/>
              </w:rPr>
              <w:t>High</w:t>
            </w:r>
          </w:p>
        </w:tc>
        <w:tc>
          <w:tcPr>
            <w:tcW w:type="dxa" w:w="6624"/>
            <w:vAlign w:val="center"/>
          </w:tcPr>
          <w:p>
            <w:pPr>
              <w:spacing w:after="40" w:before="0" w:line="240" w:lineRule="auto"/>
            </w:pPr>
            <w:r>
              <w:rPr>
                <w:rFonts w:ascii="Arial" w:hAnsi="Arial" w:eastAsia="Arial"/>
                <w:sz w:val="18"/>
              </w:rPr>
              <w:t>This segment can be treated as a protected heritage route with a clear legal framework, identified location, and documented zone of influence.</w:t>
            </w:r>
          </w:p>
        </w:tc>
      </w:tr>
      <w:tr>
        <w:trPr/>
        <w:tc>
          <w:tcPr>
            <w:tcW w:type="dxa" w:w="3168"/>
            <w:vAlign w:val="center"/>
          </w:tcPr>
          <w:p>
            <w:pPr>
              <w:spacing w:after="40" w:before="0" w:line="240" w:lineRule="auto"/>
            </w:pPr>
            <w:r>
              <w:rPr>
                <w:rFonts w:ascii="Arial" w:hAnsi="Arial" w:eastAsia="Arial"/>
                <w:sz w:val="18"/>
              </w:rPr>
              <w:t>Los Santos–Jordán and Zapatoca–Puenteruedas segments</w:t>
            </w:r>
          </w:p>
        </w:tc>
        <w:tc>
          <w:tcPr>
            <w:tcW w:type="dxa" w:w="2592"/>
            <w:vAlign w:val="center"/>
          </w:tcPr>
          <w:p>
            <w:pPr>
              <w:spacing w:after="40" w:before="0" w:line="240" w:lineRule="auto"/>
            </w:pPr>
            <w:r>
              <w:rPr>
                <w:rFonts w:ascii="Arial" w:hAnsi="Arial" w:eastAsia="Arial"/>
                <w:sz w:val="18"/>
              </w:rPr>
              <w:t>UIS Caminos de Santander</w:t>
            </w:r>
          </w:p>
        </w:tc>
        <w:tc>
          <w:tcPr>
            <w:tcW w:type="dxa" w:w="2016"/>
            <w:vAlign w:val="center"/>
          </w:tcPr>
          <w:p>
            <w:pPr>
              <w:spacing w:after="40" w:before="0" w:line="240" w:lineRule="auto"/>
            </w:pPr>
            <w:r>
              <w:rPr>
                <w:rFonts w:ascii="Arial" w:hAnsi="Arial" w:eastAsia="Arial"/>
                <w:sz w:val="18"/>
              </w:rPr>
              <w:t>Medium</w:t>
            </w:r>
          </w:p>
        </w:tc>
        <w:tc>
          <w:tcPr>
            <w:tcW w:type="dxa" w:w="6624"/>
            <w:vAlign w:val="center"/>
          </w:tcPr>
          <w:p>
            <w:pPr>
              <w:spacing w:after="40" w:before="0" w:line="240" w:lineRule="auto"/>
            </w:pPr>
            <w:r>
              <w:rPr>
                <w:rFonts w:ascii="Arial" w:hAnsi="Arial" w:eastAsia="Arial"/>
                <w:sz w:val="18"/>
              </w:rPr>
              <w:t>These segments can be used to frame the broader documentary network associated with the Camino de Lengerke, but not yet to support strong management claims.</w:t>
            </w:r>
          </w:p>
        </w:tc>
      </w:tr>
      <w:tr>
        <w:trPr/>
        <w:tc>
          <w:tcPr>
            <w:tcW w:type="dxa" w:w="3168"/>
            <w:vAlign w:val="center"/>
          </w:tcPr>
          <w:p>
            <w:pPr>
              <w:spacing w:after="40" w:before="0" w:line="240" w:lineRule="auto"/>
            </w:pPr>
            <w:r>
              <w:rPr>
                <w:rFonts w:ascii="Arial" w:hAnsi="Arial" w:eastAsia="Arial"/>
                <w:sz w:val="18"/>
              </w:rPr>
              <w:t>Cabrera–Barichara and San Vicente de Chucurí–Zapatoca references</w:t>
            </w:r>
          </w:p>
        </w:tc>
        <w:tc>
          <w:tcPr>
            <w:tcW w:type="dxa" w:w="2592"/>
            <w:vAlign w:val="center"/>
          </w:tcPr>
          <w:p>
            <w:pPr>
              <w:spacing w:after="40" w:before="0" w:line="240" w:lineRule="auto"/>
            </w:pPr>
            <w:r>
              <w:rPr>
                <w:rFonts w:ascii="Arial" w:hAnsi="Arial" w:eastAsia="Arial"/>
                <w:sz w:val="18"/>
              </w:rPr>
              <w:t>UIS Caminos de Santander</w:t>
            </w:r>
          </w:p>
        </w:tc>
        <w:tc>
          <w:tcPr>
            <w:tcW w:type="dxa" w:w="2016"/>
            <w:vAlign w:val="center"/>
          </w:tcPr>
          <w:p>
            <w:pPr>
              <w:spacing w:after="40" w:before="0" w:line="240" w:lineRule="auto"/>
            </w:pPr>
            <w:r>
              <w:rPr>
                <w:rFonts w:ascii="Arial" w:hAnsi="Arial" w:eastAsia="Arial"/>
                <w:sz w:val="18"/>
              </w:rPr>
              <w:t>Medium</w:t>
            </w:r>
          </w:p>
        </w:tc>
        <w:tc>
          <w:tcPr>
            <w:tcW w:type="dxa" w:w="6624"/>
            <w:vAlign w:val="center"/>
          </w:tcPr>
          <w:p>
            <w:pPr>
              <w:spacing w:after="40" w:before="0" w:line="240" w:lineRule="auto"/>
            </w:pPr>
            <w:r>
              <w:rPr>
                <w:rFonts w:ascii="Arial" w:hAnsi="Arial" w:eastAsia="Arial"/>
                <w:sz w:val="18"/>
              </w:rPr>
              <w:t>These corridors matter for route-system interpretation and territorial continuity, but they still require field validation before stronger statements on operability or tourism performance can be made.</w:t>
            </w:r>
          </w:p>
        </w:tc>
      </w:tr>
      <w:tr>
        <w:trPr/>
        <w:tc>
          <w:tcPr>
            <w:tcW w:type="dxa" w:w="3168"/>
            <w:vAlign w:val="center"/>
          </w:tcPr>
          <w:p>
            <w:pPr>
              <w:spacing w:after="40" w:before="0" w:line="240" w:lineRule="auto"/>
            </w:pPr>
            <w:r>
              <w:rPr>
                <w:rFonts w:ascii="Arial" w:hAnsi="Arial" w:eastAsia="Arial"/>
                <w:sz w:val="18"/>
              </w:rPr>
              <w:t>Los Santos–Jordán–Barichara–Guane–Zapatoca sequence</w:t>
            </w:r>
          </w:p>
        </w:tc>
        <w:tc>
          <w:tcPr>
            <w:tcW w:type="dxa" w:w="2592"/>
            <w:vAlign w:val="center"/>
          </w:tcPr>
          <w:p>
            <w:pPr>
              <w:spacing w:after="40" w:before="0" w:line="240" w:lineRule="auto"/>
            </w:pPr>
            <w:r>
              <w:rPr>
                <w:rFonts w:ascii="Arial" w:hAnsi="Arial" w:eastAsia="Arial"/>
                <w:sz w:val="18"/>
              </w:rPr>
              <w:t>Santander Travel</w:t>
            </w:r>
          </w:p>
        </w:tc>
        <w:tc>
          <w:tcPr>
            <w:tcW w:type="dxa" w:w="2016"/>
            <w:vAlign w:val="center"/>
          </w:tcPr>
          <w:p>
            <w:pPr>
              <w:spacing w:after="40" w:before="0" w:line="240" w:lineRule="auto"/>
            </w:pPr>
            <w:r>
              <w:rPr>
                <w:rFonts w:ascii="Arial" w:hAnsi="Arial" w:eastAsia="Arial"/>
                <w:sz w:val="18"/>
              </w:rPr>
              <w:t>Medium-low</w:t>
            </w:r>
          </w:p>
        </w:tc>
        <w:tc>
          <w:tcPr>
            <w:tcW w:type="dxa" w:w="6624"/>
            <w:vAlign w:val="center"/>
          </w:tcPr>
          <w:p>
            <w:pPr>
              <w:spacing w:after="40" w:before="0" w:line="240" w:lineRule="auto"/>
            </w:pPr>
            <w:r>
              <w:rPr>
                <w:rFonts w:ascii="Arial" w:hAnsi="Arial" w:eastAsia="Arial"/>
                <w:sz w:val="18"/>
              </w:rPr>
              <w:t>This sequence is useful as contextual support for regional narrative and continuity, but not as standalone proof for legal protection, conservation, or route quality.</w:t>
            </w:r>
          </w:p>
        </w:tc>
      </w:tr>
      <w:tr>
        <w:trPr/>
        <w:tc>
          <w:tcPr>
            <w:tcW w:type="dxa" w:w="3168"/>
            <w:vAlign w:val="center"/>
          </w:tcPr>
          <w:p>
            <w:pPr>
              <w:spacing w:after="40" w:before="0" w:line="240" w:lineRule="auto"/>
            </w:pPr>
            <w:r>
              <w:rPr>
                <w:rFonts w:ascii="Arial" w:hAnsi="Arial" w:eastAsia="Arial"/>
                <w:sz w:val="18"/>
              </w:rPr>
              <w:t>Tourism measurement architecture</w:t>
            </w:r>
          </w:p>
        </w:tc>
        <w:tc>
          <w:tcPr>
            <w:tcW w:type="dxa" w:w="2592"/>
            <w:vAlign w:val="center"/>
          </w:tcPr>
          <w:p>
            <w:pPr>
              <w:spacing w:after="40" w:before="0" w:line="240" w:lineRule="auto"/>
            </w:pPr>
            <w:r>
              <w:rPr>
                <w:rFonts w:ascii="Arial" w:hAnsi="Arial" w:eastAsia="Arial"/>
                <w:sz w:val="18"/>
              </w:rPr>
              <w:t>DANE tourism statistics portal</w:t>
            </w:r>
          </w:p>
        </w:tc>
        <w:tc>
          <w:tcPr>
            <w:tcW w:type="dxa" w:w="2016"/>
            <w:vAlign w:val="center"/>
          </w:tcPr>
          <w:p>
            <w:pPr>
              <w:spacing w:after="40" w:before="0" w:line="240" w:lineRule="auto"/>
            </w:pPr>
            <w:r>
              <w:rPr>
                <w:rFonts w:ascii="Arial" w:hAnsi="Arial" w:eastAsia="Arial"/>
                <w:sz w:val="18"/>
              </w:rPr>
              <w:t>High for national baseline; low for route specificity</w:t>
            </w:r>
          </w:p>
        </w:tc>
        <w:tc>
          <w:tcPr>
            <w:tcW w:type="dxa" w:w="6624"/>
            <w:vAlign w:val="center"/>
          </w:tcPr>
          <w:p>
            <w:pPr>
              <w:spacing w:after="40" w:before="0" w:line="240" w:lineRule="auto"/>
            </w:pPr>
            <w:r>
              <w:rPr>
                <w:rFonts w:ascii="Arial" w:hAnsi="Arial" w:eastAsia="Arial"/>
                <w:sz w:val="18"/>
              </w:rPr>
              <w:t>Colombia has an auditable national tourism-statistics platform, but no route-specific indicators yet exist for the Camino de Lengerke.</w:t>
            </w:r>
          </w:p>
        </w:tc>
      </w:tr>
    </w:tbl>
    <w:p>
      <w:pPr>
        <w:sectPr>
          <w:pgSz w:w="15840" w:h="12240" w:orient="landscape"/>
          <w:pgMar w:top="864" w:right="864" w:bottom="864" w:left="864" w:header="720" w:footer="720" w:gutter="0"/>
          <w:cols w:space="720"/>
          <w:docGrid w:linePitch="360"/>
        </w:sectPr>
      </w:pPr>
    </w:p>
    <w:p>
      <w:pPr>
        <w:pStyle w:val="Heading2"/>
        <w:spacing w:before="160" w:after="80"/>
      </w:pPr>
      <w:r>
        <w:t>b. Heritage governance and sustainability conditions</w:t>
      </w:r>
    </w:p>
    <w:p>
      <w:pPr>
        <w:spacing w:after="120" w:line="240" w:lineRule="auto"/>
      </w:pPr>
      <w:r>
        <w:t>Once the documentary boundaries of the case are clarified, the discussion shifts to governance as a decisive condition of sustainability. The literature on heritage tourism consistently shows that routes do not become development assets simply because they are historically significant or symbolically powerful. Their longer-term viability depends on how conservation, use, regulation, and local participation are coordinated in practice. Aas et al. (2005) show that heritage conservation and tourism development are interdependent processes that require stakeholder collaboration rather than institutional fragmentation. This insight is reinforced by Liu (2003), who critiques the conceptual looseness of the sustainable tourism debate, and by Buckley (2012), who warns that sustainability claims often exceed the actual capacity of destinations to align policy, management, and outcomes.</w:t>
      </w:r>
    </w:p>
    <w:p>
      <w:pPr>
        <w:spacing w:after="120" w:line="240" w:lineRule="auto"/>
      </w:pPr>
      <w:r>
        <w:t>That caution is especially relevant for the Camino de Lengerke. A route may enjoy cultural legitimacy, historical value, or even formal recognition, yet still fail to function as a sustainable territorial system. Governance must therefore be understood more broadly than legal declaration alone. It includes the maintenance of route surfaces and associated built elements, the design of access conditions, the quality of signage and interpretation, the provision of mechanisms for public appropriation, and the coordination of actors whose decisions shape the corridor over time. Where these elements are disconnected, heritage routes tend to remain fragmented resources rather than operational systems.</w:t>
      </w:r>
    </w:p>
    <w:p>
      <w:pPr>
        <w:spacing w:after="120" w:line="240" w:lineRule="auto"/>
      </w:pPr>
      <w:r>
        <w:t>Recent scientific literature supports this broader interpretation of governance. Fan et al. (2026) show that coordinated protection-utilization systems can improve resource efficiency while balancing preservation and tourism use. Kabbara et al. (2026), from a different context, arrive at a complementary conclusion by showing that sustainability initiatives remain constrained by resource shortages, policy gaps, and weak stakeholder alignment. Together, these studies suggest that governance problems are not peripheral obstacles; they are constitutive of whether sustainability can move from discourse to implementation.</w:t>
      </w:r>
    </w:p>
    <w:p>
      <w:pPr>
        <w:spacing w:after="120" w:line="240" w:lineRule="auto"/>
      </w:pPr>
      <w:r>
        <w:t>The social dimension of governance is equally important. Liu et al. (2026) show, through a systematic review of sustainable cultural heritage tourism, that residents are not secondary beneficiaries but central stakeholders whose perceptions, identity, and empowerment shape the legitimacy and durability of tourism development. For a route such as the Camino de Lengerke, which intersects inhabited settlements and local economies, this point is critical. A development strategy that increases visibility while weakening local agency, eroding cultural meaning, or compromising everyday livability would contradict the social foundations of sustainability rather than advance them.</w:t>
      </w:r>
    </w:p>
    <w:p>
      <w:pPr>
        <w:spacing w:after="120" w:line="240" w:lineRule="auto"/>
      </w:pPr>
      <w:r>
        <w:t>In the Colombian case, the available official evidence is consistent with this governance-oriented reading. Resolution 0688 of 2015 does not treat the Barichara–Guane segment solely as an object of static protection. Its wording explicitly connects protection, recovery, sustainability, and public appropriation (Ministerio de Cultura de Colombia, 2015). This matters analytically because it places the corridor within a policy logic that already anticipates a relationship between conservation and use. The challenge, then, is not whether tourism should substitute for conservation, but whether conservation, accessibility, interpretation, and local service provision can be integrated coherently without undermining the heritage values that justify protection in the first place.</w:t>
      </w:r>
    </w:p>
    <w:p>
      <w:pPr>
        <w:spacing w:after="120" w:line="240" w:lineRule="auto"/>
      </w:pPr>
      <w:r>
        <w:t>A further implication follows from the asymmetry between the benchmark and the Colombian case. In mature route systems, governance is often visible through documented coordination structures, resident participation, management responses to pressure, and route-specific policy tools. In the Camino de Lengerke, by contrast, the legal anchor is strong only for the protected Barichara–Guane segment, while the broader system still lacks audited evidence on how municipalities, heritage institutions, service providers, and community actors interact at corridor scale. The main governance gap is therefore not the absence of heritage value, but the absence of auditable route-level coordination across the wider system.</w:t>
      </w:r>
    </w:p>
    <w:p>
      <w:pPr>
        <w:pStyle w:val="Heading2"/>
        <w:spacing w:before="160" w:after="80"/>
      </w:pPr>
      <w:r>
        <w:t>c. Local value creation, livelihoods, and territorial competitiveness</w:t>
      </w:r>
    </w:p>
    <w:p>
      <w:pPr>
        <w:spacing w:after="120" w:line="240" w:lineRule="auto"/>
      </w:pPr>
      <w:r>
        <w:t>A third analytical finding concerns the way value creation should be conceptualized in heritage walking routes. The benchmark literature suggests that route competitiveness does not depend exclusively on attracting visitors, nor can it be reduced to destination branding. Rather, it depends on whether the route is capable of connecting heritage meaning, visitor experience, and local service provision within a functioning territorial system. In pilgrimage and heritage-route settings, this is particularly important because the route distributes movement across several settlements, allowing value to circulate through multiple nodes rather than accumulate only at an endpoint.</w:t>
      </w:r>
    </w:p>
    <w:p>
      <w:pPr>
        <w:spacing w:after="120" w:line="240" w:lineRule="auto"/>
      </w:pPr>
      <w:r>
        <w:t>The benchmark studies provide a useful basis for this interpretation. Amaro et al. (2018) show that users of the Camino de Santiago are motivated not only by religion but also by spirituality, new experiences, nature, and sport. Grocutt and Wood (2025) extend this understanding by showing that pilgrimage walking can foster wellbeing, resilience, identity formation, and a search for community. Sati (2026), from a different pilgrimage setting, links tourism activity more directly to employment, income, and livelihood sustainability. Read together, these studies suggest that walking routes can generate value because they mobilize demand across accommodation, food, mobility, guiding, interpretation, and local commerce while also producing symbolic and experiential value that differentiates the corridor.</w:t>
      </w:r>
    </w:p>
    <w:p>
      <w:pPr>
        <w:spacing w:after="120" w:line="240" w:lineRule="auto"/>
      </w:pPr>
      <w:r>
        <w:t>For the Camino de Lengerke, however, this argument must remain conditional. The current documentary base does not yet demonstrate that such effects have been measured locally or that they are already operating in a structured manner. What it does show is that the route possesses characteristics that make these effects plausible objects of research. The existence of a protected heritage segment, a broader documentary network, and a territorial sequence linking multiple settlements provides a reasonable basis for hypothesizing route-based value creation. Yet without empirical evidence on service use, local businesses, employment, visitor behavior, or benefit distribution, the argument remains prospective rather than confirmed.</w:t>
      </w:r>
    </w:p>
    <w:p>
      <w:pPr>
        <w:spacing w:after="120" w:line="240" w:lineRule="auto"/>
      </w:pPr>
      <w:r>
        <w:t>Scientific literature on territorial competitiveness helps clarify why this distinction matters. Abreu et al. (2026) show that in nature-based tourism, small and family-owned firms play a strategic role, and their competitiveness depends on how sustainability, coordination, and extended value creation are incorporated into their business models. Duyen et al. (2026) further demonstrate that proximity to cultural and natural landmarks can support place-based value by increasing the economic relevance of heritage settings. These contributions are important because they shift the discussion away from crude visitor-volume logic toward a more distributed interpretation of competitiveness, one in which heritage landscapes create value when they strengthen locally embedded enterprises and territorial differentiation.</w:t>
      </w:r>
    </w:p>
    <w:p>
      <w:pPr>
        <w:spacing w:after="120" w:line="240" w:lineRule="auto"/>
      </w:pPr>
      <w:r>
        <w:t>Competitiveness, in this sense, is multidimensional. It includes preserving route quality, ensuring legibility and accessibility, connecting services, organizing information, and sustaining a coherent experience across space. Buhalis (2020) argues that technology influences the competitiveness of tourism organizations and destinations because it shapes strategic management, visibility, and service design. This argument is further widened by the service-management literature on technological disruption, which shows that artificial intelligence, the Internet of Things, and immersive media are reshaping tourism structures, practices, and value-creation processes (Technological disruptions in services, 2019). Huang et al. (2026) add that digital infrastructure can facilitate new forms of tourism entrepreneurship. These insights are especially relevant for the Camino de Lengerke because digital visibility, navigation support, and route information are not secondary amenities; they are part of the corridor’s ability to function as an intelligible and competitive system.</w:t>
      </w:r>
    </w:p>
    <w:p>
      <w:pPr>
        <w:spacing w:after="120" w:line="240" w:lineRule="auto"/>
      </w:pPr>
      <w:r>
        <w:t>At the same time, route-based value creation should not be confused with digitalization alone. The central question is whether the route can sustain locally embedded businesses without severing them from the heritage logic that gives the corridor its identity. This requires looking beyond total arrivals toward the spatial distribution of opportunities and benefits. A route becomes development-relevant when it supports accommodations, food services, local guides, transport support, cultural interpretation, handicrafts, and municipal identity across several locations. It fails, by contrast, when those activities remain isolated, poorly coordinated, or disconnected from conservation priorities. The Camino de Santiago is useful here not because it offers a blueprint to replicate, but because it shows that mature route systems depend on enabling conditions that make distributed value creation visible and operable.</w:t>
      </w:r>
    </w:p>
    <w:p>
      <w:pPr>
        <w:sectPr>
          <w:pgSz w:w="12240" w:h="15840"/>
          <w:pgMar w:top="1008" w:right="1152" w:bottom="1008" w:left="1152" w:header="720" w:footer="720" w:gutter="0"/>
          <w:cols w:space="720"/>
          <w:docGrid w:linePitch="360"/>
        </w:sectPr>
      </w:pPr>
    </w:p>
    <w:p>
      <w:pPr>
        <w:jc w:val="center"/>
      </w:pPr>
      <w:r>
        <w:rPr>
          <w:rFonts w:ascii="Arial" w:hAnsi="Arial" w:eastAsia="Arial"/>
          <w:b/>
          <w:sz w:val="20"/>
        </w:rPr>
        <w:t>Table 3. Sustainability gap between the benchmark literature and the current documentary state of the Camino de Lengerke</w:t>
      </w:r>
    </w:p>
    <w:tbl>
      <w:tblPr>
        <w:tblStyle w:val="TableGrid"/>
        <w:tblW w:type="auto" w:w="0"/>
        <w:jc w:val="center"/>
        <w:tblLook w:firstColumn="1" w:firstRow="1" w:lastColumn="0" w:lastRow="0" w:noHBand="0" w:noVBand="1" w:val="04A0"/>
      </w:tblPr>
      <w:tblGrid>
        <w:gridCol w:w="2851"/>
        <w:gridCol w:w="2851"/>
        <w:gridCol w:w="2851"/>
        <w:gridCol w:w="2851"/>
        <w:gridCol w:w="2851"/>
      </w:tblGrid>
      <w:tr>
        <w:trPr>
          <w:tblHeader w:val="true"/>
        </w:trPr>
        <w:tc>
          <w:tcPr>
            <w:tcW w:type="dxa" w:w="1584"/>
            <w:vAlign w:val="center"/>
            <w:shd w:fill="D9EAF7"/>
          </w:tcPr>
          <w:p>
            <w:pPr>
              <w:spacing w:after="40" w:before="0" w:line="240" w:lineRule="auto"/>
            </w:pPr>
            <w:r>
              <w:rPr>
                <w:rFonts w:ascii="Arial" w:hAnsi="Arial" w:eastAsia="Arial"/>
                <w:b/>
                <w:sz w:val="18"/>
              </w:rPr>
              <w:t>Dimension</w:t>
            </w:r>
          </w:p>
        </w:tc>
        <w:tc>
          <w:tcPr>
            <w:tcW w:type="dxa" w:w="3456"/>
            <w:vAlign w:val="center"/>
            <w:shd w:fill="D9EAF7"/>
          </w:tcPr>
          <w:p>
            <w:pPr>
              <w:spacing w:after="40" w:before="0" w:line="240" w:lineRule="auto"/>
            </w:pPr>
            <w:r>
              <w:rPr>
                <w:rFonts w:ascii="Arial" w:hAnsi="Arial" w:eastAsia="Arial"/>
                <w:b/>
                <w:sz w:val="18"/>
              </w:rPr>
              <w:t>What the benchmark literature documents well</w:t>
            </w:r>
          </w:p>
        </w:tc>
        <w:tc>
          <w:tcPr>
            <w:tcW w:type="dxa" w:w="2880"/>
            <w:vAlign w:val="center"/>
            <w:shd w:fill="D9EAF7"/>
          </w:tcPr>
          <w:p>
            <w:pPr>
              <w:spacing w:after="40" w:before="0" w:line="240" w:lineRule="auto"/>
            </w:pPr>
            <w:r>
              <w:rPr>
                <w:rFonts w:ascii="Arial" w:hAnsi="Arial" w:eastAsia="Arial"/>
                <w:b/>
                <w:sz w:val="18"/>
              </w:rPr>
              <w:t>Key scientific references from the audited corpus</w:t>
            </w:r>
          </w:p>
        </w:tc>
        <w:tc>
          <w:tcPr>
            <w:tcW w:type="dxa" w:w="3744"/>
            <w:vAlign w:val="center"/>
            <w:shd w:fill="D9EAF7"/>
          </w:tcPr>
          <w:p>
            <w:pPr>
              <w:spacing w:after="40" w:before="0" w:line="240" w:lineRule="auto"/>
            </w:pPr>
            <w:r>
              <w:rPr>
                <w:rFonts w:ascii="Arial" w:hAnsi="Arial" w:eastAsia="Arial"/>
                <w:b/>
                <w:sz w:val="18"/>
              </w:rPr>
              <w:t>Current documentary state of the Camino de Lengerke</w:t>
            </w:r>
          </w:p>
        </w:tc>
        <w:tc>
          <w:tcPr>
            <w:tcW w:type="dxa" w:w="3312"/>
            <w:vAlign w:val="center"/>
            <w:shd w:fill="D9EAF7"/>
          </w:tcPr>
          <w:p>
            <w:pPr>
              <w:spacing w:after="40" w:before="0" w:line="240" w:lineRule="auto"/>
            </w:pPr>
            <w:r>
              <w:rPr>
                <w:rFonts w:ascii="Arial" w:hAnsi="Arial" w:eastAsia="Arial"/>
                <w:b/>
                <w:sz w:val="18"/>
              </w:rPr>
              <w:t>Priority enhancement needed in Santander</w:t>
            </w:r>
          </w:p>
        </w:tc>
      </w:tr>
      <w:tr>
        <w:trPr/>
        <w:tc>
          <w:tcPr>
            <w:tcW w:type="dxa" w:w="1584"/>
            <w:vAlign w:val="center"/>
          </w:tcPr>
          <w:p>
            <w:pPr>
              <w:spacing w:after="40" w:before="0" w:line="240" w:lineRule="auto"/>
            </w:pPr>
            <w:r>
              <w:rPr>
                <w:rFonts w:ascii="Arial" w:hAnsi="Arial" w:eastAsia="Arial"/>
                <w:sz w:val="18"/>
              </w:rPr>
              <w:t>Governance and stakeholder coordination</w:t>
            </w:r>
          </w:p>
        </w:tc>
        <w:tc>
          <w:tcPr>
            <w:tcW w:type="dxa" w:w="3456"/>
            <w:vAlign w:val="center"/>
          </w:tcPr>
          <w:p>
            <w:pPr>
              <w:spacing w:after="40" w:before="0" w:line="240" w:lineRule="auto"/>
            </w:pPr>
            <w:r>
              <w:rPr>
                <w:rFonts w:ascii="Arial" w:hAnsi="Arial" w:eastAsia="Arial"/>
                <w:sz w:val="18"/>
              </w:rPr>
              <w:t>Interdependence between conservation and tourism, resident participation, implementation barriers, and coordinated protection-utilization systems in mature routes.</w:t>
            </w:r>
          </w:p>
        </w:tc>
        <w:tc>
          <w:tcPr>
            <w:tcW w:type="dxa" w:w="2880"/>
            <w:vAlign w:val="center"/>
          </w:tcPr>
          <w:p>
            <w:pPr>
              <w:spacing w:after="40" w:before="0" w:line="240" w:lineRule="auto"/>
            </w:pPr>
            <w:r>
              <w:rPr>
                <w:rFonts w:ascii="Arial" w:hAnsi="Arial" w:eastAsia="Arial"/>
                <w:sz w:val="18"/>
              </w:rPr>
              <w:t>Aas et al. (2005); Liu et al. (2026); Fan et al. (2026); Kabbara et al. (2026)</w:t>
            </w:r>
          </w:p>
        </w:tc>
        <w:tc>
          <w:tcPr>
            <w:tcW w:type="dxa" w:w="3744"/>
            <w:vAlign w:val="center"/>
          </w:tcPr>
          <w:p>
            <w:pPr>
              <w:spacing w:after="40" w:before="0" w:line="240" w:lineRule="auto"/>
            </w:pPr>
            <w:r>
              <w:rPr>
                <w:rFonts w:ascii="Arial" w:hAnsi="Arial" w:eastAsia="Arial"/>
                <w:sz w:val="18"/>
              </w:rPr>
              <w:t>Legal protection is clear for Barichara–Guane, but there is no auditable route-level evidence on coordination across the wider system.</w:t>
            </w:r>
          </w:p>
        </w:tc>
        <w:tc>
          <w:tcPr>
            <w:tcW w:type="dxa" w:w="3312"/>
            <w:vAlign w:val="center"/>
          </w:tcPr>
          <w:p>
            <w:pPr>
              <w:spacing w:after="40" w:before="0" w:line="240" w:lineRule="auto"/>
            </w:pPr>
            <w:r>
              <w:rPr>
                <w:rFonts w:ascii="Arial" w:hAnsi="Arial" w:eastAsia="Arial"/>
                <w:sz w:val="18"/>
              </w:rPr>
              <w:t>Build a multi-actor governance architecture linking municipalities, heritage institutions, community actors, and service providers.</w:t>
            </w:r>
          </w:p>
        </w:tc>
      </w:tr>
      <w:tr>
        <w:trPr/>
        <w:tc>
          <w:tcPr>
            <w:tcW w:type="dxa" w:w="1584"/>
            <w:vAlign w:val="center"/>
          </w:tcPr>
          <w:p>
            <w:pPr>
              <w:spacing w:after="40" w:before="0" w:line="240" w:lineRule="auto"/>
            </w:pPr>
            <w:r>
              <w:rPr>
                <w:rFonts w:ascii="Arial" w:hAnsi="Arial" w:eastAsia="Arial"/>
                <w:sz w:val="18"/>
              </w:rPr>
              <w:t>Sustainability and resilience</w:t>
            </w:r>
          </w:p>
        </w:tc>
        <w:tc>
          <w:tcPr>
            <w:tcW w:type="dxa" w:w="3456"/>
            <w:vAlign w:val="center"/>
          </w:tcPr>
          <w:p>
            <w:pPr>
              <w:spacing w:after="40" w:before="0" w:line="240" w:lineRule="auto"/>
            </w:pPr>
            <w:r>
              <w:rPr>
                <w:rFonts w:ascii="Arial" w:hAnsi="Arial" w:eastAsia="Arial"/>
                <w:sz w:val="18"/>
              </w:rPr>
              <w:t>Conceptual limits of sustainability rhetoric, vulnerability to external shocks, and the need to align practice with long-term resilience.</w:t>
            </w:r>
          </w:p>
        </w:tc>
        <w:tc>
          <w:tcPr>
            <w:tcW w:type="dxa" w:w="2880"/>
            <w:vAlign w:val="center"/>
          </w:tcPr>
          <w:p>
            <w:pPr>
              <w:spacing w:after="40" w:before="0" w:line="240" w:lineRule="auto"/>
            </w:pPr>
            <w:r>
              <w:rPr>
                <w:rFonts w:ascii="Arial" w:hAnsi="Arial" w:eastAsia="Arial"/>
                <w:sz w:val="18"/>
              </w:rPr>
              <w:t>Liu (2003); Buckley (2012); Mroz (2021); Kabbara et al. (2026)</w:t>
            </w:r>
          </w:p>
        </w:tc>
        <w:tc>
          <w:tcPr>
            <w:tcW w:type="dxa" w:w="3744"/>
            <w:vAlign w:val="center"/>
          </w:tcPr>
          <w:p>
            <w:pPr>
              <w:spacing w:after="40" w:before="0" w:line="240" w:lineRule="auto"/>
            </w:pPr>
            <w:r>
              <w:rPr>
                <w:rFonts w:ascii="Arial" w:hAnsi="Arial" w:eastAsia="Arial"/>
                <w:sz w:val="18"/>
              </w:rPr>
              <w:t>There is no route-specific evidence yet on perceived sustainability, resilience capacity, or crisis response in the Camino de Lengerke.</w:t>
            </w:r>
          </w:p>
        </w:tc>
        <w:tc>
          <w:tcPr>
            <w:tcW w:type="dxa" w:w="3312"/>
            <w:vAlign w:val="center"/>
          </w:tcPr>
          <w:p>
            <w:pPr>
              <w:spacing w:after="40" w:before="0" w:line="240" w:lineRule="auto"/>
            </w:pPr>
            <w:r>
              <w:rPr>
                <w:rFonts w:ascii="Arial" w:hAnsi="Arial" w:eastAsia="Arial"/>
                <w:sz w:val="18"/>
              </w:rPr>
              <w:t>Develop baseline studies on sustainability performance, risk exposure, and adaptive capacity.</w:t>
            </w:r>
          </w:p>
        </w:tc>
      </w:tr>
      <w:tr>
        <w:trPr/>
        <w:tc>
          <w:tcPr>
            <w:tcW w:type="dxa" w:w="1584"/>
            <w:vAlign w:val="center"/>
          </w:tcPr>
          <w:p>
            <w:pPr>
              <w:spacing w:after="40" w:before="0" w:line="240" w:lineRule="auto"/>
            </w:pPr>
            <w:r>
              <w:rPr>
                <w:rFonts w:ascii="Arial" w:hAnsi="Arial" w:eastAsia="Arial"/>
                <w:sz w:val="18"/>
              </w:rPr>
              <w:t>Carrying capacity and pressure management</w:t>
            </w:r>
          </w:p>
        </w:tc>
        <w:tc>
          <w:tcPr>
            <w:tcW w:type="dxa" w:w="3456"/>
            <w:vAlign w:val="center"/>
          </w:tcPr>
          <w:p>
            <w:pPr>
              <w:spacing w:after="40" w:before="0" w:line="240" w:lineRule="auto"/>
            </w:pPr>
            <w:r>
              <w:rPr>
                <w:rFonts w:ascii="Arial" w:hAnsi="Arial" w:eastAsia="Arial"/>
                <w:sz w:val="18"/>
              </w:rPr>
              <w:t>Daily-use thresholds, conservation pressure, and strategic planning requirements before scaling visitation.</w:t>
            </w:r>
          </w:p>
        </w:tc>
        <w:tc>
          <w:tcPr>
            <w:tcW w:type="dxa" w:w="2880"/>
            <w:vAlign w:val="center"/>
          </w:tcPr>
          <w:p>
            <w:pPr>
              <w:spacing w:after="40" w:before="0" w:line="240" w:lineRule="auto"/>
            </w:pPr>
            <w:r>
              <w:rPr>
                <w:rFonts w:ascii="Arial" w:hAnsi="Arial" w:eastAsia="Arial"/>
                <w:sz w:val="18"/>
              </w:rPr>
              <w:t>Kuniyal et al. (2025); Akay (2026); Zou et al. (2025)</w:t>
            </w:r>
          </w:p>
        </w:tc>
        <w:tc>
          <w:tcPr>
            <w:tcW w:type="dxa" w:w="3744"/>
            <w:vAlign w:val="center"/>
          </w:tcPr>
          <w:p>
            <w:pPr>
              <w:spacing w:after="40" w:before="0" w:line="240" w:lineRule="auto"/>
            </w:pPr>
            <w:r>
              <w:rPr>
                <w:rFonts w:ascii="Arial" w:hAnsi="Arial" w:eastAsia="Arial"/>
                <w:sz w:val="18"/>
              </w:rPr>
              <w:t>No audited evidence yet specifies capacity limits, overload points, or seasonal stress along Lengerke segments.</w:t>
            </w:r>
          </w:p>
        </w:tc>
        <w:tc>
          <w:tcPr>
            <w:tcW w:type="dxa" w:w="3312"/>
            <w:vAlign w:val="center"/>
          </w:tcPr>
          <w:p>
            <w:pPr>
              <w:spacing w:after="40" w:before="0" w:line="240" w:lineRule="auto"/>
            </w:pPr>
            <w:r>
              <w:rPr>
                <w:rFonts w:ascii="Arial" w:hAnsi="Arial" w:eastAsia="Arial"/>
                <w:sz w:val="18"/>
              </w:rPr>
              <w:t>Establish carrying-capacity criteria and pressure-monitoring rules before promoting route growth.</w:t>
            </w:r>
          </w:p>
        </w:tc>
      </w:tr>
      <w:tr>
        <w:trPr/>
        <w:tc>
          <w:tcPr>
            <w:tcW w:type="dxa" w:w="1584"/>
            <w:vAlign w:val="center"/>
          </w:tcPr>
          <w:p>
            <w:pPr>
              <w:spacing w:after="40" w:before="0" w:line="240" w:lineRule="auto"/>
            </w:pPr>
            <w:r>
              <w:rPr>
                <w:rFonts w:ascii="Arial" w:hAnsi="Arial" w:eastAsia="Arial"/>
                <w:sz w:val="18"/>
              </w:rPr>
              <w:t>Walkability and route operability</w:t>
            </w:r>
          </w:p>
        </w:tc>
        <w:tc>
          <w:tcPr>
            <w:tcW w:type="dxa" w:w="3456"/>
            <w:vAlign w:val="center"/>
          </w:tcPr>
          <w:p>
            <w:pPr>
              <w:spacing w:after="40" w:before="0" w:line="240" w:lineRule="auto"/>
            </w:pPr>
            <w:r>
              <w:rPr>
                <w:rFonts w:ascii="Arial" w:hAnsi="Arial" w:eastAsia="Arial"/>
                <w:sz w:val="18"/>
              </w:rPr>
              <w:t>Route continuity, pedestrian optimization, thematic sequencing, corridor logic, and methodological design of usable routes.</w:t>
            </w:r>
          </w:p>
        </w:tc>
        <w:tc>
          <w:tcPr>
            <w:tcW w:type="dxa" w:w="2880"/>
            <w:vAlign w:val="center"/>
          </w:tcPr>
          <w:p>
            <w:pPr>
              <w:spacing w:after="40" w:before="0" w:line="240" w:lineRule="auto"/>
            </w:pPr>
            <w:r>
              <w:rPr>
                <w:rFonts w:ascii="Arial" w:hAnsi="Arial" w:eastAsia="Arial"/>
                <w:sz w:val="18"/>
              </w:rPr>
              <w:t>Mansourihanis et al. (2026); Akay (2026); Xie et al. (2025); Zou et al. (2025)</w:t>
            </w:r>
          </w:p>
        </w:tc>
        <w:tc>
          <w:tcPr>
            <w:tcW w:type="dxa" w:w="3744"/>
            <w:vAlign w:val="center"/>
          </w:tcPr>
          <w:p>
            <w:pPr>
              <w:spacing w:after="40" w:before="0" w:line="240" w:lineRule="auto"/>
            </w:pPr>
            <w:r>
              <w:rPr>
                <w:rFonts w:ascii="Arial" w:hAnsi="Arial" w:eastAsia="Arial"/>
                <w:sz w:val="18"/>
              </w:rPr>
              <w:t>Current evidence does not yet document signage, continuity, safety, rest points, or service accessibility along route segments.</w:t>
            </w:r>
          </w:p>
        </w:tc>
        <w:tc>
          <w:tcPr>
            <w:tcW w:type="dxa" w:w="3312"/>
            <w:vAlign w:val="center"/>
          </w:tcPr>
          <w:p>
            <w:pPr>
              <w:spacing w:after="40" w:before="0" w:line="240" w:lineRule="auto"/>
            </w:pPr>
            <w:r>
              <w:rPr>
                <w:rFonts w:ascii="Arial" w:hAnsi="Arial" w:eastAsia="Arial"/>
                <w:sz w:val="18"/>
              </w:rPr>
              <w:t>Conduct route audits and define minimum operability standards for walking use.</w:t>
            </w:r>
          </w:p>
        </w:tc>
      </w:tr>
      <w:tr>
        <w:trPr/>
        <w:tc>
          <w:tcPr>
            <w:tcW w:type="dxa" w:w="1584"/>
            <w:vAlign w:val="center"/>
          </w:tcPr>
          <w:p>
            <w:pPr>
              <w:spacing w:after="40" w:before="0" w:line="240" w:lineRule="auto"/>
            </w:pPr>
            <w:r>
              <w:rPr>
                <w:rFonts w:ascii="Arial" w:hAnsi="Arial" w:eastAsia="Arial"/>
                <w:sz w:val="18"/>
              </w:rPr>
              <w:t>Service ecosystem and local value</w:t>
            </w:r>
          </w:p>
        </w:tc>
        <w:tc>
          <w:tcPr>
            <w:tcW w:type="dxa" w:w="3456"/>
            <w:vAlign w:val="center"/>
          </w:tcPr>
          <w:p>
            <w:pPr>
              <w:spacing w:after="40" w:before="0" w:line="240" w:lineRule="auto"/>
            </w:pPr>
            <w:r>
              <w:rPr>
                <w:rFonts w:ascii="Arial" w:hAnsi="Arial" w:eastAsia="Arial"/>
                <w:sz w:val="18"/>
              </w:rPr>
              <w:t>Links between routes, small firms, distributed livelihoods, place-based value creation, and differentiated visitor demand.</w:t>
            </w:r>
          </w:p>
        </w:tc>
        <w:tc>
          <w:tcPr>
            <w:tcW w:type="dxa" w:w="2880"/>
            <w:vAlign w:val="center"/>
          </w:tcPr>
          <w:p>
            <w:pPr>
              <w:spacing w:after="40" w:before="0" w:line="240" w:lineRule="auto"/>
            </w:pPr>
            <w:r>
              <w:rPr>
                <w:rFonts w:ascii="Arial" w:hAnsi="Arial" w:eastAsia="Arial"/>
                <w:sz w:val="18"/>
              </w:rPr>
              <w:t>Abreu et al. (2026); Duyen et al. (2026); Sati (2026); Amaro et al. (2018); Grocutt &amp; Wood (2025)</w:t>
            </w:r>
          </w:p>
        </w:tc>
        <w:tc>
          <w:tcPr>
            <w:tcW w:type="dxa" w:w="3744"/>
            <w:vAlign w:val="center"/>
          </w:tcPr>
          <w:p>
            <w:pPr>
              <w:spacing w:after="40" w:before="0" w:line="240" w:lineRule="auto"/>
            </w:pPr>
            <w:r>
              <w:rPr>
                <w:rFonts w:ascii="Arial" w:hAnsi="Arial" w:eastAsia="Arial"/>
                <w:sz w:val="18"/>
              </w:rPr>
              <w:t>The Colombian documentary base does not yet show how benefits are distributed across accommodations, food services, guiding, or local commerce.</w:t>
            </w:r>
          </w:p>
        </w:tc>
        <w:tc>
          <w:tcPr>
            <w:tcW w:type="dxa" w:w="3312"/>
            <w:vAlign w:val="center"/>
          </w:tcPr>
          <w:p>
            <w:pPr>
              <w:spacing w:after="40" w:before="0" w:line="240" w:lineRule="auto"/>
            </w:pPr>
            <w:r>
              <w:rPr>
                <w:rFonts w:ascii="Arial" w:hAnsi="Arial" w:eastAsia="Arial"/>
                <w:sz w:val="18"/>
              </w:rPr>
              <w:t>Map the service ecosystem and evaluate locally embedded value chains along the route.</w:t>
            </w:r>
          </w:p>
        </w:tc>
      </w:tr>
      <w:tr>
        <w:trPr/>
        <w:tc>
          <w:tcPr>
            <w:tcW w:type="dxa" w:w="1584"/>
            <w:vAlign w:val="center"/>
          </w:tcPr>
          <w:p>
            <w:pPr>
              <w:spacing w:after="40" w:before="0" w:line="240" w:lineRule="auto"/>
            </w:pPr>
            <w:r>
              <w:rPr>
                <w:rFonts w:ascii="Arial" w:hAnsi="Arial" w:eastAsia="Arial"/>
                <w:sz w:val="18"/>
              </w:rPr>
              <w:t>Digital visibility and competitiveness</w:t>
            </w:r>
          </w:p>
        </w:tc>
        <w:tc>
          <w:tcPr>
            <w:tcW w:type="dxa" w:w="3456"/>
            <w:vAlign w:val="center"/>
          </w:tcPr>
          <w:p>
            <w:pPr>
              <w:spacing w:after="40" w:before="0" w:line="240" w:lineRule="auto"/>
            </w:pPr>
            <w:r>
              <w:rPr>
                <w:rFonts w:ascii="Arial" w:hAnsi="Arial" w:eastAsia="Arial"/>
                <w:sz w:val="18"/>
              </w:rPr>
              <w:t>Technology, digital infrastructure, platform visibility, and digital reconstruction shape entrepreneurship, operability, and destination competitiveness.</w:t>
            </w:r>
          </w:p>
        </w:tc>
        <w:tc>
          <w:tcPr>
            <w:tcW w:type="dxa" w:w="2880"/>
            <w:vAlign w:val="center"/>
          </w:tcPr>
          <w:p>
            <w:pPr>
              <w:spacing w:after="40" w:before="0" w:line="240" w:lineRule="auto"/>
            </w:pPr>
            <w:r>
              <w:rPr>
                <w:rFonts w:ascii="Arial" w:hAnsi="Arial" w:eastAsia="Arial"/>
                <w:sz w:val="18"/>
              </w:rPr>
              <w:t>Buhalis (2020); Technological disruptions in services (2019); Huang et al. (2026); Gong et al. (2025)</w:t>
            </w:r>
          </w:p>
        </w:tc>
        <w:tc>
          <w:tcPr>
            <w:tcW w:type="dxa" w:w="3744"/>
            <w:vAlign w:val="center"/>
          </w:tcPr>
          <w:p>
            <w:pPr>
              <w:spacing w:after="40" w:before="0" w:line="240" w:lineRule="auto"/>
            </w:pPr>
            <w:r>
              <w:rPr>
                <w:rFonts w:ascii="Arial" w:hAnsi="Arial" w:eastAsia="Arial"/>
                <w:sz w:val="18"/>
              </w:rPr>
              <w:t>No audited route-specific digital ecosystem has yet been documented for the Camino de Lengerke.</w:t>
            </w:r>
          </w:p>
        </w:tc>
        <w:tc>
          <w:tcPr>
            <w:tcW w:type="dxa" w:w="3312"/>
            <w:vAlign w:val="center"/>
          </w:tcPr>
          <w:p>
            <w:pPr>
              <w:spacing w:after="40" w:before="0" w:line="240" w:lineRule="auto"/>
            </w:pPr>
            <w:r>
              <w:rPr>
                <w:rFonts w:ascii="Arial" w:hAnsi="Arial" w:eastAsia="Arial"/>
                <w:sz w:val="18"/>
              </w:rPr>
              <w:t>Strengthen official route information, digital mapping, and visitor-information interfaces.</w:t>
            </w:r>
          </w:p>
        </w:tc>
      </w:tr>
      <w:tr>
        <w:trPr/>
        <w:tc>
          <w:tcPr>
            <w:tcW w:type="dxa" w:w="1584"/>
            <w:vAlign w:val="center"/>
          </w:tcPr>
          <w:p>
            <w:pPr>
              <w:spacing w:after="40" w:before="0" w:line="240" w:lineRule="auto"/>
            </w:pPr>
            <w:r>
              <w:rPr>
                <w:rFonts w:ascii="Arial" w:hAnsi="Arial" w:eastAsia="Arial"/>
                <w:sz w:val="18"/>
              </w:rPr>
              <w:t>Monitoring and evidence maturity</w:t>
            </w:r>
          </w:p>
        </w:tc>
        <w:tc>
          <w:tcPr>
            <w:tcW w:type="dxa" w:w="3456"/>
            <w:vAlign w:val="center"/>
          </w:tcPr>
          <w:p>
            <w:pPr>
              <w:spacing w:after="40" w:before="0" w:line="240" w:lineRule="auto"/>
            </w:pPr>
            <w:r>
              <w:rPr>
                <w:rFonts w:ascii="Arial" w:hAnsi="Arial" w:eastAsia="Arial"/>
                <w:sz w:val="18"/>
              </w:rPr>
              <w:t>Survey data, route-level analyses, comparative evidence, and explicit methodological frameworks support mature cases.</w:t>
            </w:r>
          </w:p>
        </w:tc>
        <w:tc>
          <w:tcPr>
            <w:tcW w:type="dxa" w:w="2880"/>
            <w:vAlign w:val="center"/>
          </w:tcPr>
          <w:p>
            <w:pPr>
              <w:spacing w:after="40" w:before="0" w:line="240" w:lineRule="auto"/>
            </w:pPr>
            <w:r>
              <w:rPr>
                <w:rFonts w:ascii="Arial" w:hAnsi="Arial" w:eastAsia="Arial"/>
                <w:sz w:val="18"/>
              </w:rPr>
              <w:t>Amaro et al. (2018); Grocutt &amp; Wood (2025); Mroz (2021); Kuniyal et al. (2025)</w:t>
            </w:r>
          </w:p>
        </w:tc>
        <w:tc>
          <w:tcPr>
            <w:tcW w:type="dxa" w:w="3744"/>
            <w:vAlign w:val="center"/>
          </w:tcPr>
          <w:p>
            <w:pPr>
              <w:spacing w:after="40" w:before="0" w:line="240" w:lineRule="auto"/>
            </w:pPr>
            <w:r>
              <w:rPr>
                <w:rFonts w:ascii="Arial" w:hAnsi="Arial" w:eastAsia="Arial"/>
                <w:sz w:val="18"/>
              </w:rPr>
              <w:t>Colombia has a national tourism-statistics architecture, but no route-specific indicators for the Lengerke system.</w:t>
            </w:r>
          </w:p>
        </w:tc>
        <w:tc>
          <w:tcPr>
            <w:tcW w:type="dxa" w:w="3312"/>
            <w:vAlign w:val="center"/>
          </w:tcPr>
          <w:p>
            <w:pPr>
              <w:spacing w:after="40" w:before="0" w:line="240" w:lineRule="auto"/>
            </w:pPr>
            <w:r>
              <w:rPr>
                <w:rFonts w:ascii="Arial" w:hAnsi="Arial" w:eastAsia="Arial"/>
                <w:sz w:val="18"/>
              </w:rPr>
              <w:t>Create route-level indicators for preservation, accessibility, visitor experience, and distributed economic effects.</w:t>
            </w:r>
          </w:p>
        </w:tc>
      </w:tr>
    </w:tbl>
    <w:p>
      <w:pPr>
        <w:sectPr>
          <w:pgSz w:w="15840" w:h="12240" w:orient="landscape"/>
          <w:pgMar w:top="792" w:right="792" w:bottom="792" w:left="792" w:header="720" w:footer="720" w:gutter="0"/>
          <w:cols w:space="720"/>
          <w:docGrid w:linePitch="360"/>
        </w:sectPr>
      </w:pPr>
    </w:p>
    <w:p>
      <w:pPr>
        <w:pStyle w:val="Heading2"/>
        <w:spacing w:before="160" w:after="80"/>
      </w:pPr>
      <w:r>
        <w:t>d. What would the Camino de Lengerke need to approach benchmark sustainability conditions?</w:t>
      </w:r>
    </w:p>
    <w:p>
      <w:pPr>
        <w:spacing w:after="120" w:line="240" w:lineRule="auto"/>
      </w:pPr>
      <w:r>
        <w:t>The fourth analytical result concerns the practical meaning of the sustainability gap identified above. If the Camino de Lengerke is to move toward sustainability conditions comparable in quality, though not in scale, to those documented in mature route systems, the issue cannot be reduced to promotion, destination branding, or route storytelling. The challenge is spatial, operational, institutional, and evidentiary. In other words, route development is not simply a matter of connecting attractive places through a brochure narrative; it requires a corridor to be walkable, interpretable, protected, service-connected, digitally legible, and governable.</w:t>
      </w:r>
    </w:p>
    <w:p>
      <w:pPr>
        <w:spacing w:after="120" w:line="240" w:lineRule="auto"/>
      </w:pPr>
      <w:r>
        <w:t>The scientific literature provides several useful methodological lessons. A first lesson is that route planning must be treated as a structured design problem rather than as an intuitive linkage among attractive places. Mansourihanis et al. (2026) show that GIS-based walkability planning can improve tourism in historic areas through the modeling of pedestrian networks. Zou et al. (2025) similarly argue that route planning becomes more robust when it relies on multi-source data and explicit optimization methods rather than informal pathfinding. Xie et al. (2025) reinforce this point by showing that heritage corridors can be conceptualized through integrated systems of nodes, lines, and clusters, allowing planners to move beyond isolated sites and toward a territorial structure.</w:t>
      </w:r>
    </w:p>
    <w:p>
      <w:pPr>
        <w:spacing w:after="120" w:line="240" w:lineRule="auto"/>
      </w:pPr>
      <w:r>
        <w:t>A second lesson concerns the treatment of fragmented or only partially visible routes. Gong et al. (2025) show that digital reconstruction is particularly valuable when historic routes are incomplete or weakly legible in the present landscape. This is directly relevant to the Camino de Lengerke because the broader system extends beyond the legally protected Barichara–Guane segment. In such a context, digital and documentary tools are not ornamental additions; they are part of how route continuity, interpretation, and legitimacy can be strengthened analytically and communicated more coherently to potential users and local stakeholders.</w:t>
      </w:r>
    </w:p>
    <w:p>
      <w:pPr>
        <w:spacing w:after="120" w:line="240" w:lineRule="auto"/>
      </w:pPr>
      <w:r>
        <w:t>A third lesson concerns pressure management. Kuniyal et al. (2025) show that sustainable pilgrimage-route planning requires explicit carrying-capacity thresholds and site-specific daily-use limits rather than an unrestricted growth logic. Mroz (2021), from the opposite side of the demand cycle, demonstrates how vulnerable pilgrimage systems are to abrupt external shocks, which means route performance must be understood not only in terms of potential growth but also in terms of fragility and resilience. The question for the Camino de Lengerke, therefore, is not simply how many visitors it might attract, but whether increased use could be absorbed without degrading built heritage, landscape quality, or local livability.</w:t>
      </w:r>
    </w:p>
    <w:p>
      <w:pPr>
        <w:spacing w:after="120" w:line="240" w:lineRule="auto"/>
      </w:pPr>
      <w:r>
        <w:t>A fourth lesson concerns the relationship between route systems and local value creation. The benchmark literature consistently suggests that route-based development depends on the ability to connect demand with locally embedded businesses and distributed service systems. Abreu et al. (2026), Duyen et al. (2026), and Sati (2026) each point, from different angles, to the importance of local firms, heritage-related value, and livelihood sustainability. Amaro et al. (2018) and Grocutt and Wood (2025) further show that route users seek multiple forms of value, including experience, wellbeing, identity, and community. These findings suggest that the Camino de Lengerke should not be evaluated only as a heritage trace but as a potential territorial service system whose relevance depends on accommodations, food services, local guides, transport support, interpretation, and municipal identity being able to capture and distribute route-based demand.</w:t>
      </w:r>
    </w:p>
    <w:p>
      <w:pPr>
        <w:spacing w:after="120" w:line="240" w:lineRule="auto"/>
      </w:pPr>
      <w:r>
        <w:t>A fifth lesson concerns governance and implementation. Aas et al. (2005), Liu et al. (2026), Fan et al. (2026), and Kabbara et al. (2026) collectively show that route sustainability depends on coordinated rather than fragmented institutional action. The benchmark literature does not imply that the Camino de Lengerke should replicate Santiago’s scale or symbolic capital. What it does show is that comparable quality depends on a coherent combination of governance coordination, route operability, carrying-capacity management, service integration, digital visibility, and route-level monitoring. In that sense, the gap is not simply one of visibility; it is a gap in the architecture that makes a route function as a sustainable territorial system.</w:t>
      </w:r>
    </w:p>
    <w:p>
      <w:pPr>
        <w:pStyle w:val="Heading2"/>
        <w:spacing w:before="160" w:after="80"/>
      </w:pPr>
      <w:r>
        <w:t>e. Field-oriented agenda and indicator design</w:t>
      </w:r>
    </w:p>
    <w:p>
      <w:pPr>
        <w:spacing w:after="120" w:line="240" w:lineRule="auto"/>
      </w:pPr>
      <w:r>
        <w:t>A final analytical result is that the documentary phase is already strong enough to define, with reasonable precision, what a later field phase should measure. Rather than concluding with a generic statement that more research is needed, the literature review and source audit make it possible to identify concrete domains where evidence is still missing. Methodologically, this moves the chapter from documentary asymmetry toward operational specification: the benchmark literature identifies the conditions commonly measured in mature route systems, while the Camino de Lengerke reveals where those same conditions remain weakly documented or absent.</w:t>
      </w:r>
    </w:p>
    <w:p>
      <w:pPr>
        <w:spacing w:after="120" w:line="240" w:lineRule="auto"/>
      </w:pPr>
      <w:r>
        <w:t>The first indicator domain is preservation and heritage condition. The official protection framework for the Barichara–Guane corridor shows that conservation, protection signage, and intervention rules are already part of the formal vocabulary of the case (Ministerio de Cultura de Colombia, 2015; ICOMOS Colombia, n.d.). Yet the existing record does not indicate the current physical condition of surfaces, visible deterioration, maintenance frequency, or the consistency of conservation interventions across segments. Preservation is therefore documented in normative terms, but not yet in route-performance terms.</w:t>
      </w:r>
    </w:p>
    <w:p>
      <w:pPr>
        <w:spacing w:after="120" w:line="240" w:lineRule="auto"/>
      </w:pPr>
      <w:r>
        <w:t>The second domain is accessibility and walkability. Recent route studies no longer approach walkability as a vague experiential quality; instead, they operationalize it through pedestrian continuity, route optimization, gradient, safety, signage, and interruption analysis (Akay, 2026; Mansourihanis et al., 2026; Zou et al., 2025). For the Camino de Lengerke, this implies that fieldwork should not merely confirm the existence of segments, but assess their continuity, difficulty, safety conditions, and legibility as real walking itineraries.</w:t>
      </w:r>
    </w:p>
    <w:p>
      <w:pPr>
        <w:spacing w:after="120" w:line="240" w:lineRule="auto"/>
      </w:pPr>
      <w:r>
        <w:t>A third domain concerns carrying capacity and pressure management. In the benchmark literature, sustainable route planning increasingly depends on identifying thresholds, bottlenecks, seasonal concentration, and conservation-sensitive use rules (Kuniyal et al., 2025). Mroz (2021) adds that resilience must also be considered because pilgrimage systems can be sharply affected by external shocks. Since the Camino de Lengerke currently lacks such route-specific evidence, any future scaling of visitation would proceed without a clear empirical basis for identifying overload risks.</w:t>
      </w:r>
    </w:p>
    <w:p>
      <w:pPr>
        <w:spacing w:after="120" w:line="240" w:lineRule="auto"/>
      </w:pPr>
      <w:r>
        <w:t>The fourth domain is the service ecosystem. Literature on route competitiveness and territorial development suggests that the presence and coordination of local businesses are central to route relevance (Abreu et al., 2026; Buhalis, 2020; Huang et al., 2026). In practical terms, this means documenting accommodations, food services, local guides, transport support, handicrafts, interpretation points, and digital discoverability in order to determine whether the route already functions, even partially, as a territorial service system.</w:t>
      </w:r>
    </w:p>
    <w:p>
      <w:pPr>
        <w:spacing w:after="120" w:line="240" w:lineRule="auto"/>
      </w:pPr>
      <w:r>
        <w:t>The fifth domain is governance coordination. Heritage and cultural tourism literature makes clear that route sustainability depends on collaboration among municipalities, cultural institutions, private actors, and residents (Aas et al., 2005; Liu et al., 2026). For the Camino de Lengerke, the relevant question is not simply whether these actors exist, but whether coordination mechanisms are visible at corridor scale and whether responsibilities for maintenance, promotion, interpretation, and conflict management are actually articulated.</w:t>
      </w:r>
    </w:p>
    <w:p>
      <w:pPr>
        <w:spacing w:after="120" w:line="240" w:lineRule="auto"/>
      </w:pPr>
      <w:r>
        <w:t>The sixth domain is visitor experience and demand. Benchmark studies show that heritage walking routes are shaped by diverse motivations and forms of meaning, not only by conventional tourism consumption (Amaro et al., 2018; Grocutt &amp; Wood, 2025). Since the Camino de Lengerke still lacks route-specific visitor evidence, variables such as motivations, authenticity, satisfaction, information use, and community-seeking should be incorporated into future surveys or interviews rather than inferred from promotional narratives.</w:t>
      </w:r>
    </w:p>
    <w:p>
      <w:pPr>
        <w:spacing w:after="120" w:line="240" w:lineRule="auto"/>
      </w:pPr>
      <w:r>
        <w:t>The seventh domain is local value distribution. If the route is to be discussed as a development asset, it is not enough to estimate potential visitation or general visibility. The relevant issue is whether route activity translates into employment, business diversification, local sourcing, income effects, and strengthened municipal identity. This follows directly from the broader literature on pilgrimage, livelihoods, and place-based value creation (Abreu et al., 2026; Duyen et al., 2026; Sati, 2026).</w:t>
      </w:r>
    </w:p>
    <w:p>
      <w:pPr>
        <w:spacing w:after="120" w:line="240" w:lineRule="auto"/>
      </w:pPr>
      <w:r>
        <w:t>Taken together, these domains sharpen the chapter’s central claim. The Camino de Lengerke should be evaluated as a territorial service system in which heritage protection, route design, carrying capacity, digital visibility, governance coordination, and local business opportunities either reinforce one another or remain disconnected. The documentary phase cannot settle that question definitively. What it can do, however, is define the problem with enough precision to guide a later empirical phase that is methodologically coherent and directly aligned with the sustainability conditions identified in the benchmark literature.</w:t>
      </w:r>
    </w:p>
    <w:p>
      <w:pPr>
        <w:sectPr>
          <w:pgSz w:w="12240" w:h="15840"/>
          <w:pgMar w:top="1008" w:right="1152" w:bottom="1008" w:left="1152" w:header="720" w:footer="720" w:gutter="0"/>
          <w:cols w:space="720"/>
          <w:docGrid w:linePitch="360"/>
        </w:sectPr>
      </w:pPr>
    </w:p>
    <w:p>
      <w:pPr>
        <w:jc w:val="center"/>
      </w:pPr>
      <w:r>
        <w:rPr>
          <w:rFonts w:ascii="Arial" w:hAnsi="Arial" w:eastAsia="Arial"/>
          <w:b/>
          <w:sz w:val="20"/>
        </w:rPr>
        <w:t>Table 4. Priority indicator domains for a future empirical phase</w:t>
      </w:r>
    </w:p>
    <w:tbl>
      <w:tblPr>
        <w:tblStyle w:val="TableGrid"/>
        <w:tblW w:type="auto" w:w="0"/>
        <w:jc w:val="center"/>
        <w:tblLook w:firstColumn="1" w:firstRow="1" w:lastColumn="0" w:lastRow="0" w:noHBand="0" w:noVBand="1" w:val="04A0"/>
      </w:tblPr>
      <w:tblGrid>
        <w:gridCol w:w="3564"/>
        <w:gridCol w:w="3564"/>
        <w:gridCol w:w="3564"/>
        <w:gridCol w:w="3564"/>
      </w:tblGrid>
      <w:tr>
        <w:trPr>
          <w:tblHeader w:val="true"/>
        </w:trPr>
        <w:tc>
          <w:tcPr>
            <w:tcW w:type="dxa" w:w="2016"/>
            <w:vAlign w:val="center"/>
            <w:shd w:fill="D9EAF7"/>
          </w:tcPr>
          <w:p>
            <w:pPr>
              <w:spacing w:after="40" w:before="0" w:line="240" w:lineRule="auto"/>
            </w:pPr>
            <w:r>
              <w:rPr>
                <w:rFonts w:ascii="Arial" w:hAnsi="Arial" w:eastAsia="Arial"/>
                <w:b/>
                <w:sz w:val="18"/>
              </w:rPr>
              <w:t>Domain</w:t>
            </w:r>
          </w:p>
        </w:tc>
        <w:tc>
          <w:tcPr>
            <w:tcW w:type="dxa" w:w="4752"/>
            <w:vAlign w:val="center"/>
            <w:shd w:fill="D9EAF7"/>
          </w:tcPr>
          <w:p>
            <w:pPr>
              <w:spacing w:after="40" w:before="0" w:line="240" w:lineRule="auto"/>
            </w:pPr>
            <w:r>
              <w:rPr>
                <w:rFonts w:ascii="Arial" w:hAnsi="Arial" w:eastAsia="Arial"/>
                <w:b/>
                <w:sz w:val="18"/>
              </w:rPr>
              <w:t>Suggested indicators</w:t>
            </w:r>
          </w:p>
        </w:tc>
        <w:tc>
          <w:tcPr>
            <w:tcW w:type="dxa" w:w="3600"/>
            <w:vAlign w:val="center"/>
            <w:shd w:fill="D9EAF7"/>
          </w:tcPr>
          <w:p>
            <w:pPr>
              <w:spacing w:after="40" w:before="0" w:line="240" w:lineRule="auto"/>
            </w:pPr>
            <w:r>
              <w:rPr>
                <w:rFonts w:ascii="Arial" w:hAnsi="Arial" w:eastAsia="Arial"/>
                <w:b/>
                <w:sz w:val="18"/>
              </w:rPr>
              <w:t>Main scientific anchors from the audited corpus</w:t>
            </w:r>
          </w:p>
        </w:tc>
        <w:tc>
          <w:tcPr>
            <w:tcW w:type="dxa" w:w="4608"/>
            <w:vAlign w:val="center"/>
            <w:shd w:fill="D9EAF7"/>
          </w:tcPr>
          <w:p>
            <w:pPr>
              <w:spacing w:after="40" w:before="0" w:line="240" w:lineRule="auto"/>
            </w:pPr>
            <w:r>
              <w:rPr>
                <w:rFonts w:ascii="Arial" w:hAnsi="Arial" w:eastAsia="Arial"/>
                <w:b/>
                <w:sz w:val="18"/>
              </w:rPr>
              <w:t>Why the indicator matters</w:t>
            </w:r>
          </w:p>
        </w:tc>
      </w:tr>
      <w:tr>
        <w:trPr/>
        <w:tc>
          <w:tcPr>
            <w:tcW w:type="dxa" w:w="2016"/>
            <w:vAlign w:val="center"/>
          </w:tcPr>
          <w:p>
            <w:pPr>
              <w:spacing w:after="40" w:before="0" w:line="240" w:lineRule="auto"/>
            </w:pPr>
            <w:r>
              <w:rPr>
                <w:rFonts w:ascii="Arial" w:hAnsi="Arial" w:eastAsia="Arial"/>
                <w:sz w:val="18"/>
              </w:rPr>
              <w:t>Preservation and heritage condition</w:t>
            </w:r>
          </w:p>
        </w:tc>
        <w:tc>
          <w:tcPr>
            <w:tcW w:type="dxa" w:w="4752"/>
            <w:vAlign w:val="center"/>
          </w:tcPr>
          <w:p>
            <w:pPr>
              <w:spacing w:after="40" w:before="0" w:line="240" w:lineRule="auto"/>
            </w:pPr>
            <w:r>
              <w:rPr>
                <w:rFonts w:ascii="Arial" w:hAnsi="Arial" w:eastAsia="Arial"/>
                <w:sz w:val="18"/>
              </w:rPr>
              <w:t>Surface condition, visible deterioration, maintenance frequency, protection signage, conservation interventions, integrity of built elements</w:t>
            </w:r>
          </w:p>
        </w:tc>
        <w:tc>
          <w:tcPr>
            <w:tcW w:type="dxa" w:w="3600"/>
            <w:vAlign w:val="center"/>
          </w:tcPr>
          <w:p>
            <w:pPr>
              <w:spacing w:after="40" w:before="0" w:line="240" w:lineRule="auto"/>
            </w:pPr>
            <w:r>
              <w:rPr>
                <w:rFonts w:ascii="Arial" w:hAnsi="Arial" w:eastAsia="Arial"/>
                <w:sz w:val="18"/>
              </w:rPr>
              <w:t>Fan et al. (2026); Xie et al. (2025); Gong et al. (2025)</w:t>
            </w:r>
          </w:p>
        </w:tc>
        <w:tc>
          <w:tcPr>
            <w:tcW w:type="dxa" w:w="4608"/>
            <w:vAlign w:val="center"/>
          </w:tcPr>
          <w:p>
            <w:pPr>
              <w:spacing w:after="40" w:before="0" w:line="240" w:lineRule="auto"/>
            </w:pPr>
            <w:r>
              <w:rPr>
                <w:rFonts w:ascii="Arial" w:hAnsi="Arial" w:eastAsia="Arial"/>
                <w:sz w:val="18"/>
              </w:rPr>
              <w:t>Evaluates whether route use, conservation practice, and corridor integrity are being aligned in operational rather than only normative terms.</w:t>
            </w:r>
          </w:p>
        </w:tc>
      </w:tr>
      <w:tr>
        <w:trPr/>
        <w:tc>
          <w:tcPr>
            <w:tcW w:type="dxa" w:w="2016"/>
            <w:vAlign w:val="center"/>
          </w:tcPr>
          <w:p>
            <w:pPr>
              <w:spacing w:after="40" w:before="0" w:line="240" w:lineRule="auto"/>
            </w:pPr>
            <w:r>
              <w:rPr>
                <w:rFonts w:ascii="Arial" w:hAnsi="Arial" w:eastAsia="Arial"/>
                <w:sz w:val="18"/>
              </w:rPr>
              <w:t>Accessibility and walkability</w:t>
            </w:r>
          </w:p>
        </w:tc>
        <w:tc>
          <w:tcPr>
            <w:tcW w:type="dxa" w:w="4752"/>
            <w:vAlign w:val="center"/>
          </w:tcPr>
          <w:p>
            <w:pPr>
              <w:spacing w:after="40" w:before="0" w:line="240" w:lineRule="auto"/>
            </w:pPr>
            <w:r>
              <w:rPr>
                <w:rFonts w:ascii="Arial" w:hAnsi="Arial" w:eastAsia="Arial"/>
                <w:sz w:val="18"/>
              </w:rPr>
              <w:t>Pedestrian continuity, gradient or difficulty, signage quality, rest points, safety perception, route interruptions, legibility of connections</w:t>
            </w:r>
          </w:p>
        </w:tc>
        <w:tc>
          <w:tcPr>
            <w:tcW w:type="dxa" w:w="3600"/>
            <w:vAlign w:val="center"/>
          </w:tcPr>
          <w:p>
            <w:pPr>
              <w:spacing w:after="40" w:before="0" w:line="240" w:lineRule="auto"/>
            </w:pPr>
            <w:r>
              <w:rPr>
                <w:rFonts w:ascii="Arial" w:hAnsi="Arial" w:eastAsia="Arial"/>
                <w:sz w:val="18"/>
              </w:rPr>
              <w:t>Mansourihanis et al. (2026); Akay (2026); Zou et al. (2025)</w:t>
            </w:r>
          </w:p>
        </w:tc>
        <w:tc>
          <w:tcPr>
            <w:tcW w:type="dxa" w:w="4608"/>
            <w:vAlign w:val="center"/>
          </w:tcPr>
          <w:p>
            <w:pPr>
              <w:spacing w:after="40" w:before="0" w:line="240" w:lineRule="auto"/>
            </w:pPr>
            <w:r>
              <w:rPr>
                <w:rFonts w:ascii="Arial" w:hAnsi="Arial" w:eastAsia="Arial"/>
                <w:sz w:val="18"/>
              </w:rPr>
              <w:t>Determines whether the corridor can operate as a real walking itinerary rather than only as a documented or narrated route.</w:t>
            </w:r>
          </w:p>
        </w:tc>
      </w:tr>
      <w:tr>
        <w:trPr/>
        <w:tc>
          <w:tcPr>
            <w:tcW w:type="dxa" w:w="2016"/>
            <w:vAlign w:val="center"/>
          </w:tcPr>
          <w:p>
            <w:pPr>
              <w:spacing w:after="40" w:before="0" w:line="240" w:lineRule="auto"/>
            </w:pPr>
            <w:r>
              <w:rPr>
                <w:rFonts w:ascii="Arial" w:hAnsi="Arial" w:eastAsia="Arial"/>
                <w:sz w:val="18"/>
              </w:rPr>
              <w:t>Carrying capacity and pressure management</w:t>
            </w:r>
          </w:p>
        </w:tc>
        <w:tc>
          <w:tcPr>
            <w:tcW w:type="dxa" w:w="4752"/>
            <w:vAlign w:val="center"/>
          </w:tcPr>
          <w:p>
            <w:pPr>
              <w:spacing w:after="40" w:before="0" w:line="240" w:lineRule="auto"/>
            </w:pPr>
            <w:r>
              <w:rPr>
                <w:rFonts w:ascii="Arial" w:hAnsi="Arial" w:eastAsia="Arial"/>
                <w:sz w:val="18"/>
              </w:rPr>
              <w:t>Daily-use thresholds, bottleneck zones, seasonal overload, crowding points, conservation pressure, shock sensitivity</w:t>
            </w:r>
          </w:p>
        </w:tc>
        <w:tc>
          <w:tcPr>
            <w:tcW w:type="dxa" w:w="3600"/>
            <w:vAlign w:val="center"/>
          </w:tcPr>
          <w:p>
            <w:pPr>
              <w:spacing w:after="40" w:before="0" w:line="240" w:lineRule="auto"/>
            </w:pPr>
            <w:r>
              <w:rPr>
                <w:rFonts w:ascii="Arial" w:hAnsi="Arial" w:eastAsia="Arial"/>
                <w:sz w:val="18"/>
              </w:rPr>
              <w:t>Kuniyal et al. (2025); Mroz (2021)</w:t>
            </w:r>
          </w:p>
        </w:tc>
        <w:tc>
          <w:tcPr>
            <w:tcW w:type="dxa" w:w="4608"/>
            <w:vAlign w:val="center"/>
          </w:tcPr>
          <w:p>
            <w:pPr>
              <w:spacing w:after="40" w:before="0" w:line="240" w:lineRule="auto"/>
            </w:pPr>
            <w:r>
              <w:rPr>
                <w:rFonts w:ascii="Arial" w:hAnsi="Arial" w:eastAsia="Arial"/>
                <w:sz w:val="18"/>
              </w:rPr>
              <w:t>Assesses whether visitation can grow without degrading environmental, heritage, or social conditions.</w:t>
            </w:r>
          </w:p>
        </w:tc>
      </w:tr>
      <w:tr>
        <w:trPr/>
        <w:tc>
          <w:tcPr>
            <w:tcW w:type="dxa" w:w="2016"/>
            <w:vAlign w:val="center"/>
          </w:tcPr>
          <w:p>
            <w:pPr>
              <w:spacing w:after="40" w:before="0" w:line="240" w:lineRule="auto"/>
            </w:pPr>
            <w:r>
              <w:rPr>
                <w:rFonts w:ascii="Arial" w:hAnsi="Arial" w:eastAsia="Arial"/>
                <w:sz w:val="18"/>
              </w:rPr>
              <w:t>Service ecosystem</w:t>
            </w:r>
          </w:p>
        </w:tc>
        <w:tc>
          <w:tcPr>
            <w:tcW w:type="dxa" w:w="4752"/>
            <w:vAlign w:val="center"/>
          </w:tcPr>
          <w:p>
            <w:pPr>
              <w:spacing w:after="40" w:before="0" w:line="240" w:lineRule="auto"/>
            </w:pPr>
            <w:r>
              <w:rPr>
                <w:rFonts w:ascii="Arial" w:hAnsi="Arial" w:eastAsia="Arial"/>
                <w:sz w:val="18"/>
              </w:rPr>
              <w:t>Number and type of accommodations, food services, guides, transport support, interpretation points, handicraft outlets, digital discoverability</w:t>
            </w:r>
          </w:p>
        </w:tc>
        <w:tc>
          <w:tcPr>
            <w:tcW w:type="dxa" w:w="3600"/>
            <w:vAlign w:val="center"/>
          </w:tcPr>
          <w:p>
            <w:pPr>
              <w:spacing w:after="40" w:before="0" w:line="240" w:lineRule="auto"/>
            </w:pPr>
            <w:r>
              <w:rPr>
                <w:rFonts w:ascii="Arial" w:hAnsi="Arial" w:eastAsia="Arial"/>
                <w:sz w:val="18"/>
              </w:rPr>
              <w:t>Abreu et al. (2026); Buhalis (2020); Huang et al. (2026); Technological disruptions in services (2019)</w:t>
            </w:r>
          </w:p>
        </w:tc>
        <w:tc>
          <w:tcPr>
            <w:tcW w:type="dxa" w:w="4608"/>
            <w:vAlign w:val="center"/>
          </w:tcPr>
          <w:p>
            <w:pPr>
              <w:spacing w:after="40" w:before="0" w:line="240" w:lineRule="auto"/>
            </w:pPr>
            <w:r>
              <w:rPr>
                <w:rFonts w:ascii="Arial" w:hAnsi="Arial" w:eastAsia="Arial"/>
                <w:sz w:val="18"/>
              </w:rPr>
              <w:t>Shows whether route-based demand can connect to locally embedded businesses and service networks.</w:t>
            </w:r>
          </w:p>
        </w:tc>
      </w:tr>
      <w:tr>
        <w:trPr/>
        <w:tc>
          <w:tcPr>
            <w:tcW w:type="dxa" w:w="2016"/>
            <w:vAlign w:val="center"/>
          </w:tcPr>
          <w:p>
            <w:pPr>
              <w:spacing w:after="40" w:before="0" w:line="240" w:lineRule="auto"/>
            </w:pPr>
            <w:r>
              <w:rPr>
                <w:rFonts w:ascii="Arial" w:hAnsi="Arial" w:eastAsia="Arial"/>
                <w:sz w:val="18"/>
              </w:rPr>
              <w:t>Governance coordination</w:t>
            </w:r>
          </w:p>
        </w:tc>
        <w:tc>
          <w:tcPr>
            <w:tcW w:type="dxa" w:w="4752"/>
            <w:vAlign w:val="center"/>
          </w:tcPr>
          <w:p>
            <w:pPr>
              <w:spacing w:after="40" w:before="0" w:line="240" w:lineRule="auto"/>
            </w:pPr>
            <w:r>
              <w:rPr>
                <w:rFonts w:ascii="Arial" w:hAnsi="Arial" w:eastAsia="Arial"/>
                <w:sz w:val="18"/>
              </w:rPr>
              <w:t>Municipal roles, heritage bodies, private-sector participation, community involvement, coordination mechanisms, conflict points</w:t>
            </w:r>
          </w:p>
        </w:tc>
        <w:tc>
          <w:tcPr>
            <w:tcW w:type="dxa" w:w="3600"/>
            <w:vAlign w:val="center"/>
          </w:tcPr>
          <w:p>
            <w:pPr>
              <w:spacing w:after="40" w:before="0" w:line="240" w:lineRule="auto"/>
            </w:pPr>
            <w:r>
              <w:rPr>
                <w:rFonts w:ascii="Arial" w:hAnsi="Arial" w:eastAsia="Arial"/>
                <w:sz w:val="18"/>
              </w:rPr>
              <w:t>Aas et al. (2005); Liu et al. (2026); Fan et al. (2026); Kabbara et al. (2026)</w:t>
            </w:r>
          </w:p>
        </w:tc>
        <w:tc>
          <w:tcPr>
            <w:tcW w:type="dxa" w:w="4608"/>
            <w:vAlign w:val="center"/>
          </w:tcPr>
          <w:p>
            <w:pPr>
              <w:spacing w:after="40" w:before="0" w:line="240" w:lineRule="auto"/>
            </w:pPr>
            <w:r>
              <w:rPr>
                <w:rFonts w:ascii="Arial" w:hAnsi="Arial" w:eastAsia="Arial"/>
                <w:sz w:val="18"/>
              </w:rPr>
              <w:t>Evaluates whether route management is collaborative, coherent, and territorially grounded rather than fragmented.</w:t>
            </w:r>
          </w:p>
        </w:tc>
      </w:tr>
      <w:tr>
        <w:trPr/>
        <w:tc>
          <w:tcPr>
            <w:tcW w:type="dxa" w:w="2016"/>
            <w:vAlign w:val="center"/>
          </w:tcPr>
          <w:p>
            <w:pPr>
              <w:spacing w:after="40" w:before="0" w:line="240" w:lineRule="auto"/>
            </w:pPr>
            <w:r>
              <w:rPr>
                <w:rFonts w:ascii="Arial" w:hAnsi="Arial" w:eastAsia="Arial"/>
                <w:sz w:val="18"/>
              </w:rPr>
              <w:t>Visitor experience and demand</w:t>
            </w:r>
          </w:p>
        </w:tc>
        <w:tc>
          <w:tcPr>
            <w:tcW w:type="dxa" w:w="4752"/>
            <w:vAlign w:val="center"/>
          </w:tcPr>
          <w:p>
            <w:pPr>
              <w:spacing w:after="40" w:before="0" w:line="240" w:lineRule="auto"/>
            </w:pPr>
            <w:r>
              <w:rPr>
                <w:rFonts w:ascii="Arial" w:hAnsi="Arial" w:eastAsia="Arial"/>
                <w:sz w:val="18"/>
              </w:rPr>
              <w:t>Motivations, satisfaction, repeat intention, perceived authenticity, information use, wellbeing, community-seeking</w:t>
            </w:r>
          </w:p>
        </w:tc>
        <w:tc>
          <w:tcPr>
            <w:tcW w:type="dxa" w:w="3600"/>
            <w:vAlign w:val="center"/>
          </w:tcPr>
          <w:p>
            <w:pPr>
              <w:spacing w:after="40" w:before="0" w:line="240" w:lineRule="auto"/>
            </w:pPr>
            <w:r>
              <w:rPr>
                <w:rFonts w:ascii="Arial" w:hAnsi="Arial" w:eastAsia="Arial"/>
                <w:sz w:val="18"/>
              </w:rPr>
              <w:t>Amaro et al. (2018); Grocutt &amp; Wood (2025)</w:t>
            </w:r>
          </w:p>
        </w:tc>
        <w:tc>
          <w:tcPr>
            <w:tcW w:type="dxa" w:w="4608"/>
            <w:vAlign w:val="center"/>
          </w:tcPr>
          <w:p>
            <w:pPr>
              <w:spacing w:after="40" w:before="0" w:line="240" w:lineRule="auto"/>
            </w:pPr>
            <w:r>
              <w:rPr>
                <w:rFonts w:ascii="Arial" w:hAnsi="Arial" w:eastAsia="Arial"/>
                <w:sz w:val="18"/>
              </w:rPr>
              <w:t>Links route design and interpretation with actual visitor behavior and route meaning.</w:t>
            </w:r>
          </w:p>
        </w:tc>
      </w:tr>
      <w:tr>
        <w:trPr/>
        <w:tc>
          <w:tcPr>
            <w:tcW w:type="dxa" w:w="2016"/>
            <w:vAlign w:val="center"/>
          </w:tcPr>
          <w:p>
            <w:pPr>
              <w:spacing w:after="40" w:before="0" w:line="240" w:lineRule="auto"/>
            </w:pPr>
            <w:r>
              <w:rPr>
                <w:rFonts w:ascii="Arial" w:hAnsi="Arial" w:eastAsia="Arial"/>
                <w:sz w:val="18"/>
              </w:rPr>
              <w:t>Local value distribution</w:t>
            </w:r>
          </w:p>
        </w:tc>
        <w:tc>
          <w:tcPr>
            <w:tcW w:type="dxa" w:w="4752"/>
            <w:vAlign w:val="center"/>
          </w:tcPr>
          <w:p>
            <w:pPr>
              <w:spacing w:after="40" w:before="0" w:line="240" w:lineRule="auto"/>
            </w:pPr>
            <w:r>
              <w:rPr>
                <w:rFonts w:ascii="Arial" w:hAnsi="Arial" w:eastAsia="Arial"/>
                <w:sz w:val="18"/>
              </w:rPr>
              <w:t>Perceived income effects, business diversification, local sourcing, employment, municipal image benefits, livelihood dependence</w:t>
            </w:r>
          </w:p>
        </w:tc>
        <w:tc>
          <w:tcPr>
            <w:tcW w:type="dxa" w:w="3600"/>
            <w:vAlign w:val="center"/>
          </w:tcPr>
          <w:p>
            <w:pPr>
              <w:spacing w:after="40" w:before="0" w:line="240" w:lineRule="auto"/>
            </w:pPr>
            <w:r>
              <w:rPr>
                <w:rFonts w:ascii="Arial" w:hAnsi="Arial" w:eastAsia="Arial"/>
                <w:sz w:val="18"/>
              </w:rPr>
              <w:t>Sati (2026); Duyen et al. (2026); Abreu et al. (2026)</w:t>
            </w:r>
          </w:p>
        </w:tc>
        <w:tc>
          <w:tcPr>
            <w:tcW w:type="dxa" w:w="4608"/>
            <w:vAlign w:val="center"/>
          </w:tcPr>
          <w:p>
            <w:pPr>
              <w:spacing w:after="40" w:before="0" w:line="240" w:lineRule="auto"/>
            </w:pPr>
            <w:r>
              <w:rPr>
                <w:rFonts w:ascii="Arial" w:hAnsi="Arial" w:eastAsia="Arial"/>
                <w:sz w:val="18"/>
              </w:rPr>
              <w:t>Tests whether route development produces distributed territorial value rather than isolated symbolic visibility.</w:t>
            </w:r>
          </w:p>
        </w:tc>
      </w:tr>
      <w:tr>
        <w:trPr/>
        <w:tc>
          <w:tcPr>
            <w:tcW w:type="dxa" w:w="2016"/>
            <w:vAlign w:val="center"/>
          </w:tcPr>
          <w:p>
            <w:pPr>
              <w:spacing w:after="40" w:before="0" w:line="240" w:lineRule="auto"/>
            </w:pPr>
            <w:r>
              <w:rPr>
                <w:rFonts w:ascii="Arial" w:hAnsi="Arial" w:eastAsia="Arial"/>
                <w:sz w:val="18"/>
              </w:rPr>
              <w:t>Conceptual sustainability consistency</w:t>
            </w:r>
          </w:p>
        </w:tc>
        <w:tc>
          <w:tcPr>
            <w:tcW w:type="dxa" w:w="4752"/>
            <w:vAlign w:val="center"/>
          </w:tcPr>
          <w:p>
            <w:pPr>
              <w:spacing w:after="40" w:before="0" w:line="240" w:lineRule="auto"/>
            </w:pPr>
            <w:r>
              <w:rPr>
                <w:rFonts w:ascii="Arial" w:hAnsi="Arial" w:eastAsia="Arial"/>
                <w:sz w:val="18"/>
              </w:rPr>
              <w:t>Evidence of alignment between discourse, management practice, and outcomes; identification of rhetoric-practice gaps</w:t>
            </w:r>
          </w:p>
        </w:tc>
        <w:tc>
          <w:tcPr>
            <w:tcW w:type="dxa" w:w="3600"/>
            <w:vAlign w:val="center"/>
          </w:tcPr>
          <w:p>
            <w:pPr>
              <w:spacing w:after="40" w:before="0" w:line="240" w:lineRule="auto"/>
            </w:pPr>
            <w:r>
              <w:rPr>
                <w:rFonts w:ascii="Arial" w:hAnsi="Arial" w:eastAsia="Arial"/>
                <w:sz w:val="18"/>
              </w:rPr>
              <w:t>Liu (2003); Buckley (2012)</w:t>
            </w:r>
          </w:p>
        </w:tc>
        <w:tc>
          <w:tcPr>
            <w:tcW w:type="dxa" w:w="4608"/>
            <w:vAlign w:val="center"/>
          </w:tcPr>
          <w:p>
            <w:pPr>
              <w:spacing w:after="40" w:before="0" w:line="240" w:lineRule="auto"/>
            </w:pPr>
            <w:r>
              <w:rPr>
                <w:rFonts w:ascii="Arial" w:hAnsi="Arial" w:eastAsia="Arial"/>
                <w:sz w:val="18"/>
              </w:rPr>
              <w:t>Prevents the route from being labeled sustainable without measurable support and strengthens analytical rigor.</w:t>
            </w:r>
          </w:p>
        </w:tc>
      </w:tr>
    </w:tbl>
    <w:p>
      <w:pPr>
        <w:sectPr>
          <w:pgSz w:w="15840" w:h="12240" w:orient="landscape"/>
          <w:pgMar w:top="792" w:right="792" w:bottom="792" w:left="792" w:header="720" w:footer="720" w:gutter="0"/>
          <w:cols w:space="720"/>
          <w:docGrid w:linePitch="360"/>
        </w:sectPr>
      </w:pPr>
    </w:p>
    <w:p>
      <w:pPr>
        <w:pStyle w:val="Heading2"/>
        <w:spacing w:before="160" w:after="80"/>
      </w:pPr>
      <w:r>
        <w:t>Note on audit alignment</w:t>
      </w:r>
    </w:p>
    <w:p>
      <w:pPr>
        <w:spacing w:after="120" w:line="240" w:lineRule="auto"/>
      </w:pPr>
      <w:r>
        <w:t>This updated version aligns the Results and Discussion section with the mapped scientific articles retained in the updated reference audit and with the official and contextual Colombian sources used for the local case. Claims were revised to expand literature coverage where the mapped articles support the argument, while avoiding unsupported extensions beyond the auditable evidence base.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