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Methodology — Baseline-Anchored Sensitivity Analysis with MOFGPM and Jiménez Linearization</w:t>
      </w:r>
    </w:p>
    <w:p>
      <w:pPr>
        <w:spacing w:after="120" w:before="0" w:lineRule="auto" w:line="276"/>
      </w:pPr>
      <w:r>
        <w:rPr>
          <w:b w:val="0"/>
          <w:i w:val="0"/>
        </w:rPr>
        <w:t>This section presents a decision-support pipeline for Emergency Department (ED) resource planning under uncertainty. The methodology is intentionally baseline-anchored: it begins from a realistic staffing configuration already used (or constrained) in practice, and then extends the analysis through sensitivity runs to (i) diagnose feasibility of service targets under uncertainty and (ii) map interpretable tradeoffs between service satisfaction and cost. Rather than producing a single point recommendation, the pipeline produces a feasibility envelope and a cost–service tradeoff surface that can support managerial negotiation.</w:t>
      </w:r>
    </w:p>
    <w:p>
      <w:pPr>
        <w:pStyle w:val="Heading1"/>
      </w:pPr>
      <w:r>
        <w:t>1. Problem statement and baseline-anchored design</w:t>
      </w:r>
    </w:p>
    <w:p>
      <w:pPr>
        <w:spacing w:after="120" w:before="0" w:lineRule="auto" w:line="276"/>
      </w:pPr>
      <w:r>
        <w:rPr>
          <w:b w:val="0"/>
          <w:i w:val="0"/>
        </w:rPr>
        <w:t>Patients arrive over time, are assigned a triage category, and follow triage-dependent activity routes. Each activity consumes one or more shared resources (Doctor, Nurse, Assistant, Specialist). A staffing plan specifies the available capacity per resource type.</w:t>
      </w:r>
    </w:p>
    <w:p>
      <w:pPr>
        <w:spacing w:after="120" w:before="0" w:lineRule="auto" w:line="276"/>
      </w:pPr>
      <w:r>
        <w:rPr>
          <w:b w:val="0"/>
          <w:i w:val="0"/>
        </w:rPr>
        <w:t>Given a staffing plan, the pipeline constructs a feasible schedule (respecting patient precedence and resource availability), computes waiting-time performance and staffing cost, and evaluates goal satisfaction using max–min Multiobjective Fuzzy Goal Programming (MOFGPM). The baseline-anchored design addresses the practical decision context: managers start from an existing staffing plan and need both a feasibility diagnosis and an interpretable tradeoff map rather than a one-shot optimum.</w:t>
      </w:r>
    </w:p>
    <w:p>
      <w:pPr>
        <w:pStyle w:val="Heading1"/>
      </w:pPr>
      <w:r>
        <w:t>2. Case inputs: resources, staffing, and cost</w:t>
      </w:r>
    </w:p>
    <w:p>
      <w:pPr>
        <w:spacing w:after="120" w:before="0" w:lineRule="auto" w:line="276"/>
      </w:pPr>
      <w:r>
        <w:rPr>
          <w:b w:val="0"/>
          <w:i w:val="0"/>
        </w:rPr>
        <w:t>Staffing is analyzed in two modes: (i) a baseline fixed staffing configuration representing current operations or policy constraints, and (ii) sensitivity sampling within lower/upper bounds to explore alternative capacity levels. Table 1 summarizes the resource types, unit costs, baseline staffing, and practical bounds used in sensitivity runs.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Resource type</w:t>
            </w:r>
          </w:p>
        </w:tc>
        <w:tc>
          <w:tcPr>
            <w:tcW w:type="dxa" w:w="1872"/>
          </w:tcPr>
          <w:p>
            <w:r>
              <w:t>Unit cost (per staff unit)</w:t>
            </w:r>
          </w:p>
        </w:tc>
        <w:tc>
          <w:tcPr>
            <w:tcW w:type="dxa" w:w="1872"/>
          </w:tcPr>
          <w:p>
            <w:r>
              <w:t>Baseline staff (example)</w:t>
            </w:r>
          </w:p>
        </w:tc>
        <w:tc>
          <w:tcPr>
            <w:tcW w:type="dxa" w:w="1872"/>
          </w:tcPr>
          <w:p>
            <w:r>
              <w:t>Lower bound (sensitivity)</w:t>
            </w:r>
          </w:p>
        </w:tc>
        <w:tc>
          <w:tcPr>
            <w:tcW w:type="dxa" w:w="1872"/>
          </w:tcPr>
          <w:p>
            <w:r>
              <w:t>Upper bound (sensitivity)</w:t>
            </w:r>
          </w:p>
        </w:tc>
      </w:tr>
      <w:tr>
        <w:tc>
          <w:tcPr>
            <w:tcW w:type="dxa" w:w="1872"/>
          </w:tcPr>
          <w:p>
            <w:r>
              <w:t>Doctor</w:t>
            </w:r>
          </w:p>
        </w:tc>
        <w:tc>
          <w:tcPr>
            <w:tcW w:type="dxa" w:w="1872"/>
          </w:tcPr>
          <w:p>
            <w:r>
              <w:t>200</w:t>
            </w:r>
          </w:p>
        </w:tc>
        <w:tc>
          <w:tcPr>
            <w:tcW w:type="dxa" w:w="1872"/>
          </w:tcPr>
          <w:p>
            <w:r>
              <w:t>3</w:t>
            </w:r>
          </w:p>
        </w:tc>
        <w:tc>
          <w:tcPr>
            <w:tcW w:type="dxa" w:w="1872"/>
          </w:tcPr>
          <w:p>
            <w:r>
              <w:t>1</w:t>
            </w:r>
          </w:p>
        </w:tc>
        <w:tc>
          <w:tcPr>
            <w:tcW w:type="dxa" w:w="1872"/>
          </w:tcPr>
          <w:p>
            <w:r>
              <w:t>6</w:t>
            </w:r>
          </w:p>
        </w:tc>
      </w:tr>
      <w:tr>
        <w:tc>
          <w:tcPr>
            <w:tcW w:type="dxa" w:w="1872"/>
          </w:tcPr>
          <w:p>
            <w:r>
              <w:t>Nurse</w:t>
            </w:r>
          </w:p>
        </w:tc>
        <w:tc>
          <w:tcPr>
            <w:tcW w:type="dxa" w:w="1872"/>
          </w:tcPr>
          <w:p>
            <w:r>
              <w:t>100</w:t>
            </w:r>
          </w:p>
        </w:tc>
        <w:tc>
          <w:tcPr>
            <w:tcW w:type="dxa" w:w="1872"/>
          </w:tcPr>
          <w:p>
            <w:r>
              <w:t>3</w:t>
            </w:r>
          </w:p>
        </w:tc>
        <w:tc>
          <w:tcPr>
            <w:tcW w:type="dxa" w:w="1872"/>
          </w:tcPr>
          <w:p>
            <w:r>
              <w:t>1</w:t>
            </w:r>
          </w:p>
        </w:tc>
        <w:tc>
          <w:tcPr>
            <w:tcW w:type="dxa" w:w="1872"/>
          </w:tcPr>
          <w:p>
            <w:r>
              <w:t>8</w:t>
            </w:r>
          </w:p>
        </w:tc>
      </w:tr>
      <w:tr>
        <w:tc>
          <w:tcPr>
            <w:tcW w:type="dxa" w:w="1872"/>
          </w:tcPr>
          <w:p>
            <w:r>
              <w:t>Assistant</w:t>
            </w:r>
          </w:p>
        </w:tc>
        <w:tc>
          <w:tcPr>
            <w:tcW w:type="dxa" w:w="1872"/>
          </w:tcPr>
          <w:p>
            <w:r>
              <w:t>50</w:t>
            </w:r>
          </w:p>
        </w:tc>
        <w:tc>
          <w:tcPr>
            <w:tcW w:type="dxa" w:w="1872"/>
          </w:tcPr>
          <w:p>
            <w:r>
              <w:t>6</w:t>
            </w:r>
          </w:p>
        </w:tc>
        <w:tc>
          <w:tcPr>
            <w:tcW w:type="dxa" w:w="1872"/>
          </w:tcPr>
          <w:p>
            <w:r>
              <w:t>1</w:t>
            </w:r>
          </w:p>
        </w:tc>
        <w:tc>
          <w:tcPr>
            <w:tcW w:type="dxa" w:w="1872"/>
          </w:tcPr>
          <w:p>
            <w:r>
              <w:t>10</w:t>
            </w:r>
          </w:p>
        </w:tc>
      </w:tr>
      <w:tr>
        <w:tc>
          <w:tcPr>
            <w:tcW w:type="dxa" w:w="1872"/>
          </w:tcPr>
          <w:p>
            <w:r>
              <w:t>Specialist</w:t>
            </w:r>
          </w:p>
        </w:tc>
        <w:tc>
          <w:tcPr>
            <w:tcW w:type="dxa" w:w="1872"/>
          </w:tcPr>
          <w:p>
            <w:r>
              <w:t>300</w:t>
            </w:r>
          </w:p>
        </w:tc>
        <w:tc>
          <w:tcPr>
            <w:tcW w:type="dxa" w:w="1872"/>
          </w:tcPr>
          <w:p>
            <w:r>
              <w:t>1</w:t>
            </w:r>
          </w:p>
        </w:tc>
        <w:tc>
          <w:tcPr>
            <w:tcW w:type="dxa" w:w="1872"/>
          </w:tcPr>
          <w:p>
            <w:r>
              <w:t>0</w:t>
            </w:r>
          </w:p>
        </w:tc>
        <w:tc>
          <w:tcPr>
            <w:tcW w:type="dxa" w:w="1872"/>
          </w:tcPr>
          <w:p>
            <w:r>
              <w:t>2</w:t>
            </w:r>
          </w:p>
        </w:tc>
      </w:tr>
    </w:tbl>
    <w:p>
      <w:pPr>
        <w:spacing w:after="200" w:before="40" w:lineRule="auto" w:line="276"/>
      </w:pPr>
      <w:r>
        <w:rPr>
          <w:b w:val="0"/>
          <w:i/>
        </w:rPr>
        <w:t>Table 1. Resource types, unit costs, baseline staffing, and sensitivity bounds.</w:t>
      </w:r>
    </w:p>
    <w:p>
      <w:pPr>
        <w:spacing w:after="120" w:before="0" w:lineRule="auto" w:line="276"/>
      </w:pPr>
      <w:r>
        <w:rPr>
          <w:b w:val="0"/>
          <w:i w:val="0"/>
        </w:rPr>
        <w:t>For a staffing vector S = {S_r}, total staffing cost is computed as the linear aggregation of unit costs and staffing quantities:</w:t>
      </w:r>
    </w:p>
    <w:p>
      <w:pPr>
        <w:spacing w:after="40" w:before="0" w:lineRule="auto" w:line="276"/>
      </w:pPr>
      <w:r>
        <w:rPr>
          <w:b/>
          <w:i w:val="0"/>
        </w:rPr>
        <w:t>Equation (1). Staffing cost</w:t>
      </w:r>
    </w:p>
    <w:p>
      <w:pPr>
        <w:jc w:val="center"/>
      </w:pPr>
      <m:oMathPara>
        <m:oMath>
          <m:r>
            <m:t>mathrmCost(S) = Σ_r SC_r,S_r</m:t>
          </m:r>
        </m:oMath>
      </m:oMathPara>
    </w:p>
    <w:p>
      <w:pPr>
        <w:spacing w:after="160" w:before="0" w:lineRule="auto" w:line="276"/>
      </w:pPr>
      <w:r>
        <w:rPr>
          <w:b w:val="0"/>
          <w:i w:val="0"/>
        </w:rPr>
      </w:r>
    </w:p>
    <w:p>
      <w:pPr>
        <w:spacing w:after="120" w:before="0" w:lineRule="auto" w:line="276"/>
      </w:pPr>
      <w:r>
        <w:rPr>
          <w:b w:val="0"/>
          <w:i w:val="0"/>
        </w:rPr>
        <w:t>Equation (1) connects capacity decisions to financial sustainability. Increasing staffing increases the available capacity to meet demand and reduce waiting, but it also increases cost. This cost term later enters MOFGPM through a satisfaction (membership) function that reflects a budget aspiration (goal) and an unacceptable upper limit.</w:t>
      </w:r>
    </w:p>
    <w:p>
      <w:pPr>
        <w:pStyle w:val="Heading1"/>
      </w:pPr>
      <w:r>
        <w:t>3. Uncertainty modeling</w:t>
      </w:r>
    </w:p>
    <w:p>
      <w:pPr>
        <w:pStyle w:val="Heading2"/>
      </w:pPr>
      <w:r>
        <w:t>3.1 Patient arrivals by triage (demand model)</w:t>
      </w:r>
    </w:p>
    <w:p>
      <w:pPr>
        <w:spacing w:after="120" w:before="0" w:lineRule="auto" w:line="276"/>
      </w:pPr>
      <w:r>
        <w:rPr>
          <w:b w:val="0"/>
          <w:i w:val="0"/>
        </w:rPr>
        <w:t>Patient arrivals are generated by triage category using fitted probabilistic models. Inter-arrival times are simulated and accumulated to obtain arrival timestamps for a representative day. Using the same realized arrival stream across uncertainty scenarios (when desired) isolates the effect of service-time uncertainty and staffing on feasibility and performance.</w:t>
      </w:r>
    </w:p>
    <w:p>
      <w:pPr>
        <w:spacing w:after="120" w:before="0" w:lineRule="auto" w:line="276"/>
      </w:pPr>
      <w:r>
        <w:rPr>
          <w:b w:val="0"/>
          <w:i w:val="0"/>
        </w:rPr>
        <w:t>Notation for arrivals:</w:t>
      </w:r>
    </w:p>
    <w:p>
      <w:pPr>
        <w:spacing w:after="40" w:before="0" w:lineRule="auto" w:line="276"/>
      </w:pPr>
      <w:r>
        <w:rPr>
          <w:b/>
          <w:i w:val="0"/>
        </w:rPr>
        <w:t>Notation (arrivals)</w:t>
      </w:r>
    </w:p>
    <w:p>
      <w:pPr>
        <w:jc w:val="center"/>
      </w:pPr>
      <m:oMathPara>
        <m:oMath>
          <m:r>
            <m:t>TA_i: textarrival time of patient i, c(i): texttriage class of patient i</m:t>
          </m:r>
        </m:oMath>
      </m:oMathPara>
    </w:p>
    <w:p>
      <w:pPr>
        <w:spacing w:after="160" w:before="0" w:lineRule="auto" w:line="276"/>
      </w:pPr>
      <w:r>
        <w:rPr>
          <w:b w:val="0"/>
          <w:i w:val="0"/>
        </w:rPr>
      </w:r>
    </w:p>
    <w:p>
      <w:pPr>
        <w:spacing w:after="120" w:before="0" w:lineRule="auto" w:line="276"/>
      </w:pPr>
      <w:r>
        <w:rPr>
          <w:b w:val="0"/>
          <w:i w:val="0"/>
        </w:rPr>
        <w:t>Arrival times {TA_i} define the time-varying demand pressure. When arrivals overlap heavily, a fixed staffing plan may become infeasible with respect to triage service standards, even if the same plan is feasible on a low-demand day.</w:t>
      </w:r>
    </w:p>
    <w:p>
      <w:pPr>
        <w:pStyle w:val="Heading2"/>
      </w:pPr>
      <w:r>
        <w:t>3.2 Service-time uncertainty and fuzzy mapping (Jiménez + scenarios)</w:t>
      </w:r>
    </w:p>
    <w:p>
      <w:pPr>
        <w:spacing w:after="120" w:before="0" w:lineRule="auto" w:line="276"/>
      </w:pPr>
      <w:r>
        <w:rPr>
          <w:b w:val="0"/>
          <w:i w:val="0"/>
        </w:rPr>
        <w:t>Service durations are uncertain due to heterogeneity in patient condition, interruptions, and clinical complexity. To integrate heterogeneous uncertainty descriptions (uniform, triangular, exponential) within one framework, each activity duration is mapped to a fuzzy triple (p, m, o) representing an optimistic value p, a central value m, and a pessimistic value o. This supports scenario-based analysis while retaining a single defuzzification rule.</w:t>
      </w:r>
    </w:p>
    <w:p>
      <w:pPr>
        <w:spacing w:after="120" w:before="0" w:lineRule="auto" w:line="276"/>
      </w:pPr>
      <w:r>
        <w:rPr>
          <w:b w:val="0"/>
          <w:i w:val="0"/>
        </w:rPr>
        <w:t>For triangular activities, the fuzzy triple is defined directly as (p, m, o) = (L, M, U), where M is the most likely duration. For uniform activities over [a, b], the triple is (p, m, o) = (a, (a+b)/2, b). For exponential activities, we retain Jiménez’s linearization to obtain a bounded representation from a location parameter a and scale σ, then define a central value a + σ/2 to complete the fuzzy triple.</w:t>
      </w:r>
    </w:p>
    <w:p>
      <w:pPr>
        <w:spacing w:after="40" w:before="0" w:lineRule="auto" w:line="276"/>
      </w:pPr>
      <w:r>
        <w:rPr>
          <w:b/>
          <w:i w:val="0"/>
        </w:rPr>
        <w:t>Equations (2a–2c). Fuzzy mapping (including Jiménez linearization)</w:t>
      </w:r>
    </w:p>
    <w:p>
      <w:pPr>
        <w:jc w:val="center"/>
      </w:pPr>
      <m:oMathPara>
        <m:oMath>
          <m:r>
            <m:t>(p,m,o)=(L,M,U) textfor triangular</m:t>
          </m:r>
        </m:oMath>
      </m:oMathPara>
    </w:p>
    <w:p>
      <w:pPr>
        <w:jc w:val="center"/>
      </w:pPr>
      <m:oMathPara>
        <m:oMath>
          <m:r>
            <m:t>(p,m,o)=≤ft(a,(a+b)/(2),bright) textfor uniform (a,b)</m:t>
          </m:r>
        </m:oMath>
      </m:oMathPara>
    </w:p>
    <w:p>
      <w:pPr>
        <w:jc w:val="center"/>
      </w:pPr>
      <m:oMathPara>
        <m:oMath>
          <m:r>
            <m:t>(p,m,o)=≤ft(a, a+(σ)/(2), a+σright) textfor exponential via Jimenez</m:t>
          </m:r>
        </m:oMath>
      </m:oMathPara>
    </w:p>
    <w:p>
      <w:pPr>
        <w:spacing w:after="160" w:before="0" w:lineRule="auto" w:line="276"/>
      </w:pPr>
      <w:r>
        <w:rPr>
          <w:b w:val="0"/>
          <w:i w:val="0"/>
        </w:rPr>
      </w:r>
    </w:p>
    <w:p>
      <w:pPr>
        <w:spacing w:after="120" w:before="0" w:lineRule="auto" w:line="276"/>
      </w:pPr>
      <w:r>
        <w:rPr>
          <w:b w:val="0"/>
          <w:i w:val="0"/>
        </w:rPr>
        <w:t>Equations (2a–2c) define how uncertainty in durations is represented in a consistent three-point form. In particular, the Jiménez mapping preserves the interval concept [a, a+σ] while providing a central value a+σ/2 for computational use. In implementation, the location parameter a can be set to the mean or median of the fitted exponential distribution, depending on robustness preferences.</w:t>
      </w:r>
    </w:p>
    <w:p>
      <w:pPr>
        <w:spacing w:after="120" w:before="0" w:lineRule="auto" w:line="276"/>
      </w:pPr>
      <w:r>
        <w:rPr>
          <w:b w:val="0"/>
          <w:i w:val="0"/>
        </w:rPr>
        <w:t>For the expected (defuzzified) scenario used in schedule evaluation, the pipeline applies an expected-value defuzzification operator:</w:t>
      </w:r>
    </w:p>
    <w:p>
      <w:pPr>
        <w:spacing w:after="40" w:before="0" w:lineRule="auto" w:line="276"/>
      </w:pPr>
      <w:r>
        <w:rPr>
          <w:b/>
          <w:i w:val="0"/>
        </w:rPr>
        <w:t>Equation (3). Defuzzification (expected-value)</w:t>
      </w:r>
    </w:p>
    <w:p>
      <w:pPr>
        <w:jc w:val="center"/>
      </w:pPr>
      <m:oMathPara>
        <m:oMath>
          <m:r>
            <m:t>EI(T̃) = (p + 2m + o)/(4)</m:t>
          </m:r>
        </m:oMath>
      </m:oMathPara>
    </w:p>
    <w:p>
      <w:pPr>
        <w:spacing w:after="160" w:before="0" w:lineRule="auto" w:line="276"/>
      </w:pPr>
      <w:r>
        <w:rPr>
          <w:b w:val="0"/>
          <w:i w:val="0"/>
        </w:rPr>
      </w:r>
    </w:p>
    <w:p>
      <w:pPr>
        <w:spacing w:after="120" w:before="0" w:lineRule="auto" w:line="276"/>
      </w:pPr>
      <w:r>
        <w:rPr>
          <w:b w:val="0"/>
          <w:i w:val="0"/>
        </w:rPr>
        <w:t>Equation (3) balances optimistic and pessimistic extremes while placing higher weight on the central value. This yields a single crisp duration used by the scheduling-based evaluation module.</w:t>
      </w:r>
    </w:p>
    <w:p>
      <w:pPr>
        <w:spacing w:after="120" w:before="0" w:lineRule="auto" w:line="276"/>
      </w:pPr>
      <w:r>
        <w:rPr>
          <w:b w:val="0"/>
          <w:i w:val="0"/>
        </w:rPr>
        <w:t>Table 2 summarizes how original uncertainty specifications are mapped into fuzzy triples and how the three scenario values are defined (optimistic, expected, pessimistic).</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Original specification</w:t>
            </w:r>
          </w:p>
        </w:tc>
        <w:tc>
          <w:tcPr>
            <w:tcW w:type="dxa" w:w="2340"/>
          </w:tcPr>
          <w:p>
            <w:r>
              <w:t>Fuzzy triple (p, m, o)</w:t>
            </w:r>
          </w:p>
        </w:tc>
        <w:tc>
          <w:tcPr>
            <w:tcW w:type="dxa" w:w="2340"/>
          </w:tcPr>
          <w:p>
            <w:r>
              <w:t>Expected scenario value</w:t>
            </w:r>
          </w:p>
        </w:tc>
        <w:tc>
          <w:tcPr>
            <w:tcW w:type="dxa" w:w="2340"/>
          </w:tcPr>
          <w:p>
            <w:r>
              <w:t>Scenario values used</w:t>
            </w:r>
          </w:p>
        </w:tc>
      </w:tr>
      <w:tr>
        <w:tc>
          <w:tcPr>
            <w:tcW w:type="dxa" w:w="2340"/>
          </w:tcPr>
          <w:p>
            <w:r>
              <w:t>Uniform(a,b)</w:t>
            </w:r>
          </w:p>
        </w:tc>
        <w:tc>
          <w:tcPr>
            <w:tcW w:type="dxa" w:w="2340"/>
          </w:tcPr>
          <w:p>
            <w:r>
              <w:t>(a, (a+b)/2, b)</w:t>
            </w:r>
          </w:p>
        </w:tc>
        <w:tc>
          <w:tcPr>
            <w:tcW w:type="dxa" w:w="2340"/>
          </w:tcPr>
          <w:p>
            <w:r>
              <w:t>EI = (p+2m+o)/4</w:t>
            </w:r>
          </w:p>
        </w:tc>
        <w:tc>
          <w:tcPr>
            <w:tcW w:type="dxa" w:w="2340"/>
          </w:tcPr>
          <w:p>
            <w:r>
              <w:t>optimistic=p; expected=EI; pessimistic=o</w:t>
            </w:r>
          </w:p>
        </w:tc>
      </w:tr>
      <w:tr>
        <w:tc>
          <w:tcPr>
            <w:tcW w:type="dxa" w:w="2340"/>
          </w:tcPr>
          <w:p>
            <w:r>
              <w:t>Triangular(L,M,U)</w:t>
            </w:r>
          </w:p>
        </w:tc>
        <w:tc>
          <w:tcPr>
            <w:tcW w:type="dxa" w:w="2340"/>
          </w:tcPr>
          <w:p>
            <w:r>
              <w:t>(L, M, U)</w:t>
            </w:r>
          </w:p>
        </w:tc>
        <w:tc>
          <w:tcPr>
            <w:tcW w:type="dxa" w:w="2340"/>
          </w:tcPr>
          <w:p>
            <w:r>
              <w:t>EI = (L+2M+U)/4</w:t>
            </w:r>
          </w:p>
        </w:tc>
        <w:tc>
          <w:tcPr>
            <w:tcW w:type="dxa" w:w="2340"/>
          </w:tcPr>
          <w:p>
            <w:r>
              <w:t>optimistic=L; expected=EI; pessimistic=U</w:t>
            </w:r>
          </w:p>
        </w:tc>
      </w:tr>
      <w:tr>
        <w:tc>
          <w:tcPr>
            <w:tcW w:type="dxa" w:w="2340"/>
          </w:tcPr>
          <w:p>
            <w:r>
              <w:t>Exponential(a,σ) via Jiménez</w:t>
            </w:r>
          </w:p>
        </w:tc>
        <w:tc>
          <w:tcPr>
            <w:tcW w:type="dxa" w:w="2340"/>
          </w:tcPr>
          <w:p>
            <w:r>
              <w:t>(a, a+σ/2, a+σ)</w:t>
            </w:r>
          </w:p>
        </w:tc>
        <w:tc>
          <w:tcPr>
            <w:tcW w:type="dxa" w:w="2340"/>
          </w:tcPr>
          <w:p>
            <w:r>
              <w:t>EI = (p+2m+o)/4</w:t>
            </w:r>
          </w:p>
        </w:tc>
        <w:tc>
          <w:tcPr>
            <w:tcW w:type="dxa" w:w="2340"/>
          </w:tcPr>
          <w:p>
            <w:r>
              <w:t>optimistic=p; expected=EI; pessimistic=o</w:t>
            </w:r>
          </w:p>
        </w:tc>
      </w:tr>
    </w:tbl>
    <w:p>
      <w:pPr>
        <w:spacing w:after="200" w:before="40" w:lineRule="auto" w:line="276"/>
      </w:pPr>
      <w:r>
        <w:rPr>
          <w:b w:val="0"/>
          <w:i/>
        </w:rPr>
        <w:t>Table 2. Mapping from probabilistic/triangular inputs to fuzzy scenarios and defuzzified expected values.</w:t>
      </w:r>
    </w:p>
    <w:p>
      <w:pPr>
        <w:pStyle w:val="Heading1"/>
      </w:pPr>
      <w:r>
        <w:t>4. Scheduling-based evaluation (capacity meets demand)</w:t>
      </w:r>
    </w:p>
    <w:p>
      <w:pPr>
        <w:spacing w:after="120" w:before="0" w:lineRule="auto" w:line="276"/>
      </w:pPr>
      <w:r>
        <w:rPr>
          <w:b w:val="0"/>
          <w:i w:val="0"/>
        </w:rPr>
        <w:t>Given arrivals (demand) and staffing (capacity), the pipeline constructs a feasible schedule for all required patient activities. In this study, precedence relations are not generated as an explicit MILP constraint set; instead, they are induced by each patient’s triage-dependent clinical route and enforced implicitly by the schedule-generation (decoding) algorithm.</w:t>
      </w:r>
    </w:p>
    <w:p>
      <w:pPr>
        <w:pStyle w:val="Heading2"/>
      </w:pPr>
      <w:r>
        <w:t>4.1 Generation of precedence constraints from triage-dependent routes</w:t>
      </w:r>
    </w:p>
    <w:p>
      <w:pPr>
        <w:spacing w:after="120" w:before="0" w:lineRule="auto" w:line="276"/>
      </w:pPr>
      <w:r>
        <w:rPr>
          <w:b w:val="0"/>
          <w:i w:val="0"/>
        </w:rPr>
        <w:t>Let c(i) be the triage class of patient i and let R_{c(i),j} ∈ {0,1} indicate whether activity j is required for class c(i). The set of required activities for patient i is defined as:</w:t>
      </w:r>
    </w:p>
    <w:p>
      <w:pPr>
        <w:spacing w:after="40" w:before="0" w:lineRule="auto" w:line="276"/>
      </w:pPr>
      <w:r>
        <w:rPr>
          <w:b/>
          <w:i w:val="0"/>
        </w:rPr>
        <w:t>Equation (4). Required-activity set</w:t>
      </w:r>
    </w:p>
    <w:p>
      <w:pPr>
        <w:jc w:val="center"/>
      </w:pPr>
      <m:oMathPara>
        <m:oMath>
          <m:r>
            <m:t>mathcalJ_i = , j in mathcalJ | R_c(i),j=1 ,</m:t>
          </m:r>
        </m:oMath>
      </m:oMathPara>
    </w:p>
    <w:p>
      <w:pPr>
        <w:spacing w:after="160" w:before="0" w:lineRule="auto" w:line="276"/>
      </w:pPr>
      <w:r>
        <w:rPr>
          <w:b w:val="0"/>
          <w:i w:val="0"/>
        </w:rPr>
      </w:r>
    </w:p>
    <w:p>
      <w:pPr>
        <w:spacing w:after="120" w:before="0" w:lineRule="auto" w:line="276"/>
      </w:pPr>
      <w:r>
        <w:rPr>
          <w:b w:val="0"/>
          <w:i w:val="0"/>
        </w:rPr>
        <w:t>To define a reproducible route order, we sort J_i by the global activity index, yielding an ordered sequence (j_{i,1}, j_{i,2}, …, j_{i,K_i}). This sequence defines a chain precedence graph:</w:t>
      </w:r>
    </w:p>
    <w:p>
      <w:pPr>
        <w:spacing w:after="40" w:before="0" w:lineRule="auto" w:line="276"/>
      </w:pPr>
      <w:r>
        <w:rPr>
          <w:b/>
          <w:i w:val="0"/>
        </w:rPr>
        <w:t>Equation (5). Chain precedence induced by the route</w:t>
      </w:r>
    </w:p>
    <w:p>
      <w:pPr>
        <w:jc w:val="center"/>
      </w:pPr>
      <m:oMathPara>
        <m:oMath>
          <m:r>
            <m:t>(i,j_i,k-1) rightarrow (i,j_i,k), k=2,ldots,K_i</m:t>
          </m:r>
        </m:oMath>
      </m:oMathPara>
    </w:p>
    <w:p>
      <w:pPr>
        <w:spacing w:after="160" w:before="0" w:lineRule="auto" w:line="276"/>
      </w:pPr>
      <w:r>
        <w:rPr>
          <w:b w:val="0"/>
          <w:i w:val="0"/>
        </w:rPr>
      </w:r>
    </w:p>
    <w:p>
      <w:pPr>
        <w:spacing w:after="120" w:before="0" w:lineRule="auto" w:line="276"/>
      </w:pPr>
      <w:r>
        <w:rPr>
          <w:b w:val="0"/>
          <w:i w:val="0"/>
        </w:rPr>
        <w:t>In the case study, the activity index order is assumed to match the intended clinical ordering; if needed, the ordered sequence can alternatively be defined using a clinically validated ordering table without changing the decoding logic.</w:t>
      </w:r>
    </w:p>
    <w:p>
      <w:pPr>
        <w:pStyle w:val="Heading2"/>
      </w:pPr>
      <w:r>
        <w:t>4.2 Implicit enforcement of precedence via Serial Schedule Generation (SSGS)</w:t>
      </w:r>
    </w:p>
    <w:p>
      <w:pPr>
        <w:spacing w:after="120" w:before="0" w:lineRule="auto" w:line="276"/>
      </w:pPr>
      <w:r>
        <w:rPr>
          <w:b w:val="0"/>
          <w:i w:val="0"/>
        </w:rPr>
        <w:t>Let ST_{i,k} and ET_{i,k} denote the start and end times of the k-th activity in patient i’s ordered route, where the k-th activity corresponds to j_{i,k}. Let d_{i,k} be the defuzzified duration (typically d_{i,k} = EI(\tilde{T}_{i,k}) from Equation (3)). During decoding, a task becomes ready only if its predecessor has been scheduled. Define the precedence-based release time:</w:t>
      </w:r>
    </w:p>
    <w:p>
      <w:pPr>
        <w:spacing w:after="40" w:before="0" w:lineRule="auto" w:line="276"/>
      </w:pPr>
      <w:r>
        <w:rPr>
          <w:b/>
          <w:i w:val="0"/>
        </w:rPr>
        <w:t>Equation (6). Precedence-based release time</w:t>
      </w:r>
    </w:p>
    <w:p>
      <w:pPr>
        <w:jc w:val="center"/>
      </w:pPr>
      <m:oMathPara>
        <m:oMath>
          <m:r>
            <m:t>r_i,k = begincases TA_i, &amp; k=1, ET_i,k-1, &amp; k ≥ 2. endcases</m:t>
          </m:r>
        </m:oMath>
      </m:oMathPara>
    </w:p>
    <w:p>
      <w:pPr>
        <w:spacing w:after="160" w:before="0" w:lineRule="auto" w:line="276"/>
      </w:pPr>
      <w:r>
        <w:rPr>
          <w:b w:val="0"/>
          <w:i w:val="0"/>
        </w:rPr>
      </w:r>
    </w:p>
    <w:p>
      <w:pPr>
        <w:spacing w:after="120" w:before="0" w:lineRule="auto" w:line="276"/>
      </w:pPr>
      <w:r>
        <w:rPr>
          <w:b w:val="0"/>
          <w:i w:val="0"/>
        </w:rPr>
        <w:t>The decoding algorithm enforces precedence by restricting start times to satisfy:</w:t>
      </w:r>
    </w:p>
    <w:p>
      <w:pPr>
        <w:spacing w:after="40" w:before="0" w:lineRule="auto" w:line="276"/>
      </w:pPr>
      <w:r>
        <w:rPr>
          <w:b/>
          <w:i w:val="0"/>
        </w:rPr>
        <w:t>Equation (7). Precedence constraint as enforced by decoding</w:t>
      </w:r>
    </w:p>
    <w:p>
      <w:pPr>
        <w:jc w:val="center"/>
      </w:pPr>
      <m:oMathPara>
        <m:oMath>
          <m:r>
            <m:t>ST_i,k ≥ r_i,k, ∀ i, k=1,ldots,K_i</m:t>
          </m:r>
        </m:oMath>
      </m:oMathPara>
    </w:p>
    <w:p>
      <w:pPr>
        <w:spacing w:after="160" w:before="0" w:lineRule="auto" w:line="276"/>
      </w:pPr>
      <w:r>
        <w:rPr>
          <w:b w:val="0"/>
          <w:i w:val="0"/>
        </w:rPr>
      </w:r>
    </w:p>
    <w:p>
      <w:pPr>
        <w:spacing w:after="120" w:before="0" w:lineRule="auto" w:line="276"/>
      </w:pPr>
      <w:r>
        <w:rPr>
          <w:b w:val="0"/>
          <w:i w:val="0"/>
        </w:rPr>
        <w:t>Completion times are then defined by:</w:t>
      </w:r>
    </w:p>
    <w:p>
      <w:pPr>
        <w:spacing w:after="40" w:before="0" w:lineRule="auto" w:line="276"/>
      </w:pPr>
      <w:r>
        <w:rPr>
          <w:b/>
          <w:i w:val="0"/>
        </w:rPr>
        <w:t>Equation (8). Completion time</w:t>
      </w:r>
    </w:p>
    <w:p>
      <w:pPr>
        <w:jc w:val="center"/>
      </w:pPr>
      <m:oMathPara>
        <m:oMath>
          <m:r>
            <m:t>ET_i,k = ST_i,k + d_i,k</m:t>
          </m:r>
        </m:oMath>
      </m:oMathPara>
    </w:p>
    <w:p>
      <w:pPr>
        <w:spacing w:after="160" w:before="0" w:lineRule="auto" w:line="276"/>
      </w:pPr>
      <w:r>
        <w:rPr>
          <w:b w:val="0"/>
          <w:i w:val="0"/>
        </w:rPr>
      </w:r>
    </w:p>
    <w:p>
      <w:pPr>
        <w:spacing w:after="120" w:before="0" w:lineRule="auto" w:line="276"/>
      </w:pPr>
      <w:r>
        <w:rPr>
          <w:b w:val="0"/>
          <w:i w:val="0"/>
        </w:rPr>
        <w:t>Equations (6–8) ensure clinical and temporal feasibility. Equation (6) prevents service before arrival for the first activity and enforces within-patient precedence for subsequent activities; Equation (7) is the precedence constraint implemented by the decoder; and Equation (8) links start times to completion times using uncertainty-adjusted durations.</w:t>
      </w:r>
    </w:p>
    <w:p>
      <w:pPr>
        <w:pStyle w:val="Heading2"/>
      </w:pPr>
      <w:r>
        <w:t>4.3 Resource feasibility and the demand–capacity balance</w:t>
      </w:r>
    </w:p>
    <w:p>
      <w:pPr>
        <w:spacing w:after="120" w:before="0" w:lineRule="auto" w:line="276"/>
      </w:pPr>
      <w:r>
        <w:rPr>
          <w:b w:val="0"/>
          <w:i w:val="0"/>
        </w:rPr>
        <w:t>Resource feasibility (capacity) is enforced through a serial schedule generation scheme. Let R_{i,k} be the set of resource types required by task (i,k) (derived from TH_{h,j_{i,k}}), and let avail_r denote the earliest availability time among the S_r parallel units of resource type r. For each ready task, the decoder assigns the earliest available unit of each required resource type and sets:</w:t>
      </w:r>
    </w:p>
    <w:p>
      <w:pPr>
        <w:spacing w:after="40" w:before="0" w:lineRule="auto" w:line="276"/>
      </w:pPr>
      <w:r>
        <w:rPr>
          <w:b/>
          <w:i w:val="0"/>
        </w:rPr>
        <w:t>Equation (9). Resource-feasible start time (SSGS)</w:t>
      </w:r>
    </w:p>
    <w:p>
      <w:pPr>
        <w:jc w:val="center"/>
      </w:pPr>
      <m:oMathPara>
        <m:oMath>
          <m:r>
            <m:t>ST_i,k = max≤ft(r_i,k, max_rin mathcalR_i,k textavail_rright)</m:t>
          </m:r>
        </m:oMath>
      </m:oMathPara>
    </w:p>
    <w:p>
      <w:pPr>
        <w:spacing w:after="160" w:before="0" w:lineRule="auto" w:line="276"/>
      </w:pPr>
      <w:r>
        <w:rPr>
          <w:b w:val="0"/>
          <w:i w:val="0"/>
        </w:rPr>
      </w:r>
    </w:p>
    <w:p>
      <w:pPr>
        <w:spacing w:after="120" w:before="0" w:lineRule="auto" w:line="276"/>
      </w:pPr>
      <w:r>
        <w:rPr>
          <w:b w:val="0"/>
          <w:i w:val="0"/>
        </w:rPr>
        <w:t>Equation (9) operationalizes the balance between demand and capacity: when arrivals overlap or staffing is low, resource availability increases avail_r, which delays ST_{i,k} and propagates into higher waiting times. Conversely, increasing staffing increases the number of parallel units S_r, reduces contention, and improves feasibility and waiting-time performance.</w:t>
      </w:r>
    </w:p>
    <w:p>
      <w:pPr>
        <w:pStyle w:val="Heading2"/>
      </w:pPr>
      <w:r>
        <w:t>4.4 Waiting-time metric and triage feasibility</w:t>
      </w:r>
    </w:p>
    <w:p>
      <w:pPr>
        <w:spacing w:after="120" w:before="0" w:lineRule="auto" w:line="276"/>
      </w:pPr>
      <w:r>
        <w:rPr>
          <w:b w:val="0"/>
          <w:i w:val="0"/>
        </w:rPr>
        <w:t>Waiting time is computed as the time a patient spends waiting between arrival or completion of a prior activity and the start of the next activity:</w:t>
      </w:r>
    </w:p>
    <w:p>
      <w:pPr>
        <w:spacing w:after="40" w:before="0" w:lineRule="auto" w:line="276"/>
      </w:pPr>
      <w:r>
        <w:rPr>
          <w:b/>
          <w:i w:val="0"/>
        </w:rPr>
        <w:t>Equation (10). Waiting-time metric</w:t>
      </w:r>
    </w:p>
    <w:p>
      <w:pPr>
        <w:jc w:val="center"/>
      </w:pPr>
      <m:oMathPara>
        <m:oMath>
          <m:r>
            <m:t>WT_i,1 = ST_i,1 - TA_i</m:t>
          </m:r>
        </m:oMath>
      </m:oMathPara>
    </w:p>
    <w:p>
      <w:pPr>
        <w:jc w:val="center"/>
      </w:pPr>
      <m:oMathPara>
        <m:oMath>
          <m:r>
            <m:t>WT_i,k = ST_i,k - ET_i,k-1, k=2,ldots,K_i</m:t>
          </m:r>
        </m:oMath>
      </m:oMathPara>
    </w:p>
    <w:p>
      <w:pPr>
        <w:jc w:val="center"/>
      </w:pPr>
      <m:oMathPara>
        <m:oMath>
          <m:r>
            <m:t>mathrmWait(S) = Σ_i Σ_k=1^K_i WT_i,k</m:t>
          </m:r>
        </m:oMath>
      </m:oMathPara>
    </w:p>
    <w:p>
      <w:pPr>
        <w:spacing w:after="160" w:before="0" w:lineRule="auto" w:line="276"/>
      </w:pPr>
      <w:r>
        <w:rPr>
          <w:b w:val="0"/>
          <w:i w:val="0"/>
        </w:rPr>
      </w:r>
    </w:p>
    <w:p>
      <w:pPr>
        <w:spacing w:after="120" w:before="0" w:lineRule="auto" w:line="276"/>
      </w:pPr>
      <w:r>
        <w:rPr>
          <w:b w:val="0"/>
          <w:i w:val="0"/>
        </w:rPr>
        <w:t>Equation (10) defines the service-quality metric used in MOFGPM. The aggregate Wait(S) is the total accumulated waiting time across all patients and activities under staffing plan S. This quantity increases when demand intensity (arrivals) or service durations exceed capacity, and it decreases when additional staffing increases capacity.</w:t>
      </w:r>
    </w:p>
    <w:p>
      <w:pPr>
        <w:spacing w:after="120" w:before="0" w:lineRule="auto" w:line="276"/>
      </w:pPr>
      <w:r>
        <w:rPr>
          <w:b w:val="0"/>
          <w:i w:val="0"/>
        </w:rPr>
        <w:t>In addition to aggregate waiting, triage categories impose service-level requirements. Let WT_i^{early} denote cumulative waiting time over early-care activities (e.g., up to a fixed index corresponding to j ≤ J0 with J0=4 in the implementation), and let MT_c denote the triage-specific maximum tolerated threshold. Feasibility requires:</w:t>
      </w:r>
    </w:p>
    <w:p>
      <w:pPr>
        <w:spacing w:after="40" w:before="0" w:lineRule="auto" w:line="276"/>
      </w:pPr>
      <w:r>
        <w:rPr>
          <w:b/>
          <w:i w:val="0"/>
        </w:rPr>
        <w:t>Equation (11). Triage feasibility (early-care service standard)</w:t>
      </w:r>
    </w:p>
    <w:p>
      <w:pPr>
        <w:jc w:val="center"/>
      </w:pPr>
      <m:oMathPara>
        <m:oMath>
          <m:r>
            <m:t>WT^mathrmearly_i ≤ MT_c(i), ∀ i</m:t>
          </m:r>
        </m:oMath>
      </m:oMathPara>
    </w:p>
    <w:p>
      <w:pPr>
        <w:spacing w:after="160" w:before="0" w:lineRule="auto" w:line="276"/>
      </w:pPr>
      <w:r>
        <w:rPr>
          <w:b w:val="0"/>
          <w:i w:val="0"/>
        </w:rPr>
      </w:r>
    </w:p>
    <w:p>
      <w:pPr>
        <w:spacing w:after="120" w:before="0" w:lineRule="auto" w:line="276"/>
      </w:pPr>
      <w:r>
        <w:rPr>
          <w:b w:val="0"/>
          <w:i w:val="0"/>
        </w:rPr>
        <w:t>Equation (11) provides a manager- and clinician-relevant feasibility rule: even if aggregate waiting is acceptable on average, excessive early-care delays for high-acuity patients are not permitted. In the computational pipeline, violations are heavily penalized so that solutions are first driven toward feasibility before improving satisfaction.</w:t>
      </w:r>
    </w:p>
    <w:p>
      <w:pPr>
        <w:pStyle w:val="Heading1"/>
      </w:pPr>
      <w:r>
        <w:t>5. Multiobjective Fuzzy Goal Programming (MOFGPM)</w:t>
      </w:r>
    </w:p>
    <w:p>
      <w:pPr>
        <w:spacing w:after="120" w:before="0" w:lineRule="auto" w:line="276"/>
      </w:pPr>
      <w:r>
        <w:rPr>
          <w:b w:val="0"/>
          <w:i w:val="0"/>
        </w:rPr>
        <w:t>Cost and waiting are conflicting objectives: increasing staffing reduces waiting but increases cost. Instead of applying fixed weights, MOFGPM converts each objective into a satisfaction degree in [0,1] using piecewise-linear membership functions defined by aspiration (Goal) and unacceptable (Max) levels.</w:t>
      </w:r>
    </w:p>
    <w:p>
      <w:pPr>
        <w:spacing w:after="120" w:before="0" w:lineRule="auto" w:line="276"/>
      </w:pPr>
      <w:r>
        <w:rPr>
          <w:b w:val="0"/>
          <w:i w:val="0"/>
        </w:rPr>
        <w:t>Cost membership function:</w:t>
      </w:r>
    </w:p>
    <w:p>
      <w:pPr>
        <w:spacing w:after="40" w:before="0" w:lineRule="auto" w:line="276"/>
      </w:pPr>
      <w:r>
        <w:rPr>
          <w:b/>
          <w:i w:val="0"/>
        </w:rPr>
        <w:t>Equations (11a–11c). Cost membership (piecewise linear)</w:t>
      </w:r>
    </w:p>
    <w:p>
      <w:pPr>
        <w:jc w:val="center"/>
      </w:pPr>
      <m:oMathPara>
        <m:oMath>
          <m:r>
            <m:t>μ_mathrmCost(mathrmCost)=1, mathrmCost≤ G_mathrmCost</m:t>
          </m:r>
        </m:oMath>
      </m:oMathPara>
    </w:p>
    <w:p>
      <w:pPr>
        <w:jc w:val="center"/>
      </w:pPr>
      <m:oMathPara>
        <m:oMath>
          <m:r>
            <m:t>μ_mathrmCost(mathrmCost)=(C_max-mathrmCost)/(C_max-G_mathrmCost), G_mathrmCost&lt;mathrmCost&lt;C_max</m:t>
          </m:r>
        </m:oMath>
      </m:oMathPara>
    </w:p>
    <w:p>
      <w:pPr>
        <w:jc w:val="center"/>
      </w:pPr>
      <m:oMathPara>
        <m:oMath>
          <m:r>
            <m:t>μ_mathrmCost(mathrmCost)=0, mathrmCost≥ C_max</m:t>
          </m:r>
        </m:oMath>
      </m:oMathPara>
    </w:p>
    <w:p>
      <w:pPr>
        <w:spacing w:after="160" w:before="0" w:lineRule="auto" w:line="276"/>
      </w:pPr>
      <w:r>
        <w:rPr>
          <w:b w:val="0"/>
          <w:i w:val="0"/>
        </w:rPr>
      </w:r>
    </w:p>
    <w:p>
      <w:pPr>
        <w:spacing w:after="120" w:before="0" w:lineRule="auto" w:line="276"/>
      </w:pPr>
      <w:r>
        <w:rPr>
          <w:b w:val="0"/>
          <w:i w:val="0"/>
        </w:rPr>
        <w:t>Equations (11a–11c) encode budget satisfaction: costs at or below the aspiration level G_Cost fully satisfy the cost goal, costs above C_max are unacceptable, and costs in between decrease satisfaction linearly.</w:t>
      </w:r>
    </w:p>
    <w:p>
      <w:pPr>
        <w:spacing w:after="120" w:before="0" w:lineRule="auto" w:line="276"/>
      </w:pPr>
      <w:r>
        <w:rPr>
          <w:b w:val="0"/>
          <w:i w:val="0"/>
        </w:rPr>
        <w:t>Waiting membership function:</w:t>
      </w:r>
    </w:p>
    <w:p>
      <w:pPr>
        <w:spacing w:after="40" w:before="0" w:lineRule="auto" w:line="276"/>
      </w:pPr>
      <w:r>
        <w:rPr>
          <w:b/>
          <w:i w:val="0"/>
        </w:rPr>
        <w:t>Equations (12a–12c). Waiting membership (piecewise linear)</w:t>
      </w:r>
    </w:p>
    <w:p>
      <w:pPr>
        <w:jc w:val="center"/>
      </w:pPr>
      <m:oMathPara>
        <m:oMath>
          <m:r>
            <m:t>μ_mathrmWait(mathrmWait)=1, mathrmWait≤ G_mathrmWait</m:t>
          </m:r>
        </m:oMath>
      </m:oMathPara>
    </w:p>
    <w:p>
      <w:pPr>
        <w:jc w:val="center"/>
      </w:pPr>
      <m:oMathPara>
        <m:oMath>
          <m:r>
            <m:t>μ_mathrmWait(mathrmWait)=(W_max-mathrmWait)/(W_max-G_mathrmWait), G_mathrmWait&lt;mathrmWait&lt;W_max</m:t>
          </m:r>
        </m:oMath>
      </m:oMathPara>
    </w:p>
    <w:p>
      <w:pPr>
        <w:jc w:val="center"/>
      </w:pPr>
      <m:oMathPara>
        <m:oMath>
          <m:r>
            <m:t>μ_mathrmWait(mathrmWait)=0, mathrmWait≥ W_max</m:t>
          </m:r>
        </m:oMath>
      </m:oMathPara>
    </w:p>
    <w:p>
      <w:pPr>
        <w:spacing w:after="160" w:before="0" w:lineRule="auto" w:line="276"/>
      </w:pPr>
      <w:r>
        <w:rPr>
          <w:b w:val="0"/>
          <w:i w:val="0"/>
        </w:rPr>
      </w:r>
    </w:p>
    <w:p>
      <w:pPr>
        <w:spacing w:after="120" w:before="0" w:lineRule="auto" w:line="276"/>
      </w:pPr>
      <w:r>
        <w:rPr>
          <w:b w:val="0"/>
          <w:i w:val="0"/>
        </w:rPr>
        <w:t>Equations (12a–12c) define service satisfaction: waiting at or below G_Wait fully satisfies the service goal, waiting above W_max is unacceptable, and intermediate performance is graded linearly. In sensitivity studies, varying W_max traces feasibility boundaries and shows how tight tolerances restrict feasible operation under uncertainty.</w:t>
      </w:r>
    </w:p>
    <w:p>
      <w:pPr>
        <w:spacing w:after="120" w:before="0" w:lineRule="auto" w:line="276"/>
      </w:pPr>
      <w:r>
        <w:rPr>
          <w:b w:val="0"/>
          <w:i w:val="0"/>
        </w:rPr>
        <w:t>Max–min MOFGPM objective (balanced tradeoff):</w:t>
      </w:r>
    </w:p>
    <w:p>
      <w:pPr>
        <w:spacing w:after="40" w:before="0" w:lineRule="auto" w:line="276"/>
      </w:pPr>
      <w:r>
        <w:rPr>
          <w:b/>
          <w:i w:val="0"/>
        </w:rPr>
        <w:t>Equations (13–15). Max–min MOFGPM</w:t>
      </w:r>
    </w:p>
    <w:p>
      <w:pPr>
        <w:jc w:val="center"/>
      </w:pPr>
      <m:oMathPara>
        <m:oMath>
          <m:r>
            <m:t>max λ</m:t>
          </m:r>
        </m:oMath>
      </m:oMathPara>
    </w:p>
    <w:p>
      <w:pPr>
        <w:jc w:val="center"/>
      </w:pPr>
      <m:oMathPara>
        <m:oMath>
          <m:r>
            <m:t>λ ≤ μ_mathrmCost, λ ≤ μ_mathrmWait</m:t>
          </m:r>
        </m:oMath>
      </m:oMathPara>
    </w:p>
    <w:p>
      <w:pPr>
        <w:jc w:val="center"/>
      </w:pPr>
      <m:oMathPara>
        <m:oMath>
          <m:r>
            <m:t>0 ≤ λ ≤ 1</m:t>
          </m:r>
        </m:oMath>
      </m:oMathPara>
    </w:p>
    <w:p>
      <w:pPr>
        <w:spacing w:after="160" w:before="0" w:lineRule="auto" w:line="276"/>
      </w:pPr>
      <w:r>
        <w:rPr>
          <w:b w:val="0"/>
          <w:i w:val="0"/>
        </w:rPr>
      </w:r>
    </w:p>
    <w:p>
      <w:pPr>
        <w:spacing w:after="120" w:before="0" w:lineRule="auto" w:line="276"/>
      </w:pPr>
      <w:r>
        <w:rPr>
          <w:b w:val="0"/>
          <w:i w:val="0"/>
        </w:rPr>
        <w:t>Equations (13–15) enforce a balanced solution: λ improves only if both cost and waiting satisfaction improve, because λ is bounded by the smaller membership. This avoids solutions that are excellent on one dimension but unacceptable on the other and produces a managerial tradeoff map that is easy to interpret.</w:t>
      </w:r>
    </w:p>
    <w:p>
      <w:pPr>
        <w:pStyle w:val="Heading1"/>
      </w:pPr>
      <w:r>
        <w:t>6. Solution approach: baseline and sensitivity pipeline</w:t>
      </w:r>
    </w:p>
    <w:p>
      <w:pPr>
        <w:spacing w:after="120" w:before="0" w:lineRule="auto" w:line="276"/>
      </w:pPr>
      <w:r>
        <w:rPr>
          <w:b w:val="0"/>
          <w:i w:val="0"/>
        </w:rPr>
        <w:t>Waiting time depends on nonlinear interactions between arrivals, precedence, and shared resources. The pipeline therefore uses a simulation-optimization approach. For each staffing configuration, a genetic algorithm (GA) searches over task-priority permutations. Each chromosome is decoded into a feasible schedule using serial schedule generation under the precedence rules (Equations 4–6) and resource feasibility.</w:t>
      </w:r>
    </w:p>
    <w:p>
      <w:pPr>
        <w:spacing w:after="120" w:before="0" w:lineRule="auto" w:line="276"/>
      </w:pPr>
      <w:r>
        <w:rPr>
          <w:b w:val="0"/>
          <w:i w:val="0"/>
        </w:rPr>
        <w:t>The GA fitness is the MOFGPM objective: for each decoded schedule the pipeline computes Cost(S) (Equation 1), Wait(S) (Equation 9), memberships (Equations 11–12), and λ (Equations 13–15). Schedules violating triage feasibility (Equation 10) receive strong penalties so that feasibility is satisfied before improving satisfaction.</w:t>
      </w:r>
    </w:p>
    <w:p>
      <w:pPr>
        <w:spacing w:after="120" w:before="0" w:lineRule="auto" w:line="276"/>
      </w:pPr>
      <w:r>
        <w:rPr>
          <w:b w:val="0"/>
          <w:i w:val="0"/>
        </w:rPr>
        <w:t>Two execution modes align with baseline-anchored decision-making: (i) a baseline run with fixed staffing to quantify current feasibility and satisfaction, and (ii) a sensitivity mode that samples staffing vectors within bounds (Table 1) and/or varies waiting tolerance W_max to map feasibility boundaries and cost–service tradeoffs under optimistic/expected/pessimistic duration scenarios.</w:t>
      </w:r>
    </w:p>
    <w:p>
      <w:pPr>
        <w:pStyle w:val="Heading1"/>
      </w:pPr>
      <w:r>
        <w:t>7. Feasibility boundaries and tradeoff reporting</w:t>
      </w:r>
    </w:p>
    <w:p>
      <w:pPr>
        <w:spacing w:after="120" w:before="0" w:lineRule="auto" w:line="276"/>
      </w:pPr>
      <w:r>
        <w:rPr>
          <w:b w:val="0"/>
          <w:i w:val="0"/>
        </w:rPr>
        <w:t>Each tested staffing plan reports Cost, Wait, μ_Cost, μ_Wait, λ, and a feasibility flag (based primarily on triage feasibility and positive memberships). Aggregating results across staffing samples and uncertainty scenarios yields a decision-relevant map of feasible/infeasible regions and the achievable tradeoff frontier between cost and service satisfaction.</w:t>
      </w:r>
    </w:p>
    <w:p>
      <w:pPr>
        <w:spacing w:after="120" w:before="0" w:lineRule="auto" w:line="276"/>
      </w:pPr>
      <w:r>
        <w:rPr>
          <w:b w:val="0"/>
          <w:i w:val="0"/>
        </w:rPr>
        <w:t>For interpretation, λ provides a single summary index of balanced performance, while the individual memberships μ_Cost and μ_Wait identify which objective is binding. Reporting both λ and its components prevents tradeoffs from being hidden.</w:t>
      </w:r>
    </w:p>
    <w:p>
      <w:pPr>
        <w:pStyle w:val="Heading1"/>
      </w:pPr>
      <w:r>
        <w:t>8. Validation and robustness checks</w:t>
      </w:r>
    </w:p>
    <w:p>
      <w:pPr>
        <w:spacing w:after="120" w:before="0" w:lineRule="auto" w:line="276"/>
      </w:pPr>
      <w:r>
        <w:rPr>
          <w:b w:val="0"/>
          <w:i w:val="0"/>
        </w:rPr>
        <w:t>Robustness is evaluated through repeated stochastic replications and confidence-interval summaries of waiting-time and triage-level service metrics. This ensures that baseline conclusions and sensitivity trends are not artifacts of a single simulated day.</w:t>
      </w:r>
    </w:p>
    <w:p>
      <w:pPr>
        <w:pStyle w:val="Heading2"/>
      </w:pPr>
      <w:r>
        <w:t>8.1 External validation with FlexSim</w:t>
      </w:r>
    </w:p>
    <w:p>
      <w:pPr>
        <w:spacing w:after="120" w:before="0" w:lineRule="auto" w:line="276"/>
      </w:pPr>
      <w:r>
        <w:rPr>
          <w:b w:val="0"/>
          <w:i w:val="0"/>
        </w:rPr>
        <w:t>In addition to the methodology runs (baseline and sensitivity), a FlexSim discrete-event simulation can be used to validate the GA-based approach. Baseline staffing and selected sensitivity staffing samples are replicated in FlexSim using the same triage pathways, arrival logic, and service assumptions.</w:t>
      </w:r>
    </w:p>
    <w:p>
      <w:pPr>
        <w:spacing w:after="120" w:before="0" w:lineRule="auto" w:line="276"/>
      </w:pPr>
      <w:r>
        <w:rPr>
          <w:b w:val="0"/>
          <w:i w:val="0"/>
        </w:rPr>
        <w:t>Validation compares key outputs between GA+MOFGPM and FlexSim, including total waiting time, triage-level service attainment, and resource utilization. Close agreement supports the validity of the optimization pipeline and its managerial interpretations.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