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4.png" ContentType="image/png"/>
  <Override PartName="/word/media/rId35.png" ContentType="image/png"/>
  <Override PartName="/word/media/rId11.png" ContentType="image/png"/>
  <Override PartName="/word/media/rId22.png" ContentType="image/png"/>
  <Override PartName="/word/media/rId28.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Disaster Event Dynamics and Conditional Crisis Modeling in Santander, Colombia: A Synthesis of Market Transmission and Territorial Resilience</w:t>
      </w:r>
    </w:p>
    <w:p>
      <w:pPr>
        <w:pStyle w:val="Author"/>
      </w:pPr>
      <w:r>
        <w:t xml:space="preserve">Codex Version 2 Pipeline</w:t>
      </w:r>
    </w:p>
    <w:p>
      <w:pPr>
        <w:pStyle w:val="Date"/>
      </w:pPr>
      <w:r>
        <w:t xml:space="preserve">2026-04-16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abstract"/>
    <w:p>
      <w:pPr>
        <w:pStyle w:val="Heading1"/>
      </w:pPr>
      <w:r>
        <w:t xml:space="preserve">Abstract</w:t>
      </w:r>
    </w:p>
    <w:p>
      <w:pPr>
        <w:pStyle w:val="FirstParagraph"/>
      </w:pPr>
      <w:r>
        <w:t xml:space="preserve">This study extends the analysis of international cocoa price transmission and smallholder vulnerability by evaluating whether local disaster pressure helps identify the environmental conditions under which market exposure is experienced. Utilizing a nested sub-window of 36 months (August 2021 to July 2024) within the broader v1 core window, we incorporate 594 disaster records. Due to high zero-inflation in isolated seismic series (4 events), we implement a data-driven composite indicator. Results suggests that while the benchmark cocoa system maintains primary control over price formation, the localized disaster index marks discrete episodes of intensified environmental stress that coincide with observed market level shifts. This exploratory extension provides a reproducible methodology for integrating sparse hazard records into commodity risk assessments without displacing primary macro-econometric benchmarks.</w:t>
      </w:r>
    </w:p>
    <w:p>
      <w:pPr>
        <w:pStyle w:val="BodyText"/>
      </w:pPr>
      <w:r>
        <w:rPr>
          <w:b/>
          <w:bCs/>
        </w:rPr>
        <w:t xml:space="preserve">Keywords:</w:t>
      </w:r>
      <w:r>
        <w:t xml:space="preserve"> </w:t>
      </w:r>
      <w:r>
        <w:t xml:space="preserve">disaster events; earthquake screening; crisis indicator; translation architecture; structural change</w:t>
      </w:r>
    </w:p>
    <w:bookmarkEnd w:id="9"/>
    <w:bookmarkStart w:id="10" w:name="introduction"/>
    <w:p>
      <w:pPr>
        <w:pStyle w:val="Heading1"/>
      </w:pPr>
      <w:r>
        <w:t xml:space="preserve">Introduction</w:t>
      </w:r>
    </w:p>
    <w:p>
      <w:pPr>
        <w:pStyle w:val="FirstParagraph"/>
      </w:pPr>
      <w:r>
        <w:t xml:space="preserve">Smallholder vulnerability in the global cocoa chain is primarily determined by the speed and symmetry of international price transmission. This study synthesizes three years of research into a unified framework that evaluates how global market shocks (Chapter 1) intersect with localized territorial hazards (Chapter 2) to determine the systemic resilience of the Colombian cocoa sector (Chapter 3).</w:t>
      </w:r>
    </w:p>
    <w:bookmarkEnd w:id="10"/>
    <w:bookmarkStart w:id="21" w:name="X23f09ec5487f4d395729efee8207bf864ff2395"/>
    <w:p>
      <w:pPr>
        <w:pStyle w:val="Heading1"/>
      </w:pPr>
      <w:r>
        <w:t xml:space="preserve">Chapter 1: Structural Market Transmission (Baseline)</w:t>
      </w:r>
    </w:p>
    <w:p>
      <w:pPr>
        <w:pStyle w:val="FirstParagraph"/>
      </w:pPr>
      <w:r>
        <w:t xml:space="preserve">The primary cocoa price formation system is characterized by a high-fidelity linkage between global benchmarks and the domestic producer price. Historical coverage (Figure 1) establishes a robust baseline for these observations.</w:t>
      </w:r>
    </w:p>
    <w:p>
      <w:pPr>
        <w:pStyle w:val="CaptionedFigure"/>
      </w:pPr>
      <w:r>
        <w:drawing>
          <wp:inline>
            <wp:extent cx="5334000" cy="2422427"/>
            <wp:effectExtent b="0" l="0" r="0" t="0"/>
            <wp:docPr descr="Figure 1. Long-run Historical Data Coverage (1960-2026)." title="" id="12" name="Picture"/>
            <a:graphic>
              <a:graphicData uri="http://schemas.openxmlformats.org/drawingml/2006/picture">
                <pic:pic>
                  <pic:nvPicPr>
                    <pic:cNvPr descr="figures/figure_v1_long_run_coverage.png" id="13" name="Picture"/>
                    <pic:cNvPicPr>
                      <a:picLocks noChangeArrowheads="1" noChangeAspect="1"/>
                    </pic:cNvPicPr>
                  </pic:nvPicPr>
                  <pic:blipFill>
                    <a:blip r:embed="rId11"/>
                    <a:stretch>
                      <a:fillRect/>
                    </a:stretch>
                  </pic:blipFill>
                  <pic:spPr bwMode="auto">
                    <a:xfrm>
                      <a:off x="0" y="0"/>
                      <a:ext cx="5334000" cy="2422427"/>
                    </a:xfrm>
                    <a:prstGeom prst="rect">
                      <a:avLst/>
                    </a:prstGeom>
                    <a:noFill/>
                    <a:ln w="9525">
                      <a:noFill/>
                      <a:headEnd/>
                      <a:tailEnd/>
                    </a:ln>
                  </pic:spPr>
                </pic:pic>
              </a:graphicData>
            </a:graphic>
          </wp:inline>
        </w:drawing>
      </w:r>
    </w:p>
    <w:p>
      <w:pPr>
        <w:pStyle w:val="ImageCaption"/>
      </w:pPr>
      <w:r>
        <w:t xml:space="preserve">Figure 1. Long-run Historical Data Coverage (1960-2026).</w:t>
      </w:r>
    </w:p>
    <w:p>
      <w:pPr>
        <w:pStyle w:val="BodyText"/>
      </w:pPr>
      <w:r>
        <w:rPr>
          <w:b/>
          <w:bCs/>
        </w:rPr>
        <w:t xml:space="preserve">1.1 Long-run Connection Properties</w:t>
      </w:r>
    </w:p>
    <w:p>
      <w:pPr>
        <w:pStyle w:val="BodyText"/>
      </w:pPr>
      <w:r>
        <w:t xml:space="preserve">Analysis of the full historical sample reveals that domestic prices internalize approximately</w:t>
      </w:r>
      <w:r>
        <w:t xml:space="preserve"> </w:t>
      </w:r>
      <w:r>
        <w:rPr>
          <w:b/>
          <w:bCs/>
        </w:rPr>
        <w:t xml:space="preserve">0.842</w:t>
      </w:r>
      <w:r>
        <w:t xml:space="preserve"> </w:t>
      </w:r>
      <w:r>
        <w:t xml:space="preserve">of world market shocks within the same month. While Engle-Granger tests (p=0.09782342994421778) show varying long-term cointegration strength, the short-run return-linkage remains the dominant driver of smallholder exposure.</w:t>
      </w:r>
    </w:p>
    <w:p>
      <w:pPr>
        <w:pStyle w:val="BodyText"/>
      </w:pPr>
      <w:r>
        <w:rPr>
          <w:b/>
          <w:bCs/>
        </w:rPr>
        <w:t xml:space="preserve">Table 1. Core Transmission Benchmarks (V1 Metadata).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World-to-Domestic Pass-through</w:t>
            </w:r>
          </w:p>
        </w:tc>
        <w:tc>
          <w:tcPr/>
          <w:p>
            <w:pPr>
              <w:pStyle w:val="Compact"/>
            </w:pPr>
            <w:r>
              <w:t xml:space="preserve">0.842</w:t>
            </w:r>
          </w:p>
        </w:tc>
      </w:tr>
      <w:tr>
        <w:tc>
          <w:tcPr/>
          <w:p>
            <w:pPr>
              <w:pStyle w:val="Compact"/>
            </w:pPr>
            <w:r>
              <w:t xml:space="preserve">Model Adjusted R²</w:t>
            </w:r>
          </w:p>
        </w:tc>
        <w:tc>
          <w:tcPr/>
          <w:p>
            <w:pPr>
              <w:pStyle w:val="Compact"/>
            </w:pPr>
            <w:r>
              <w:t xml:space="preserve">0.633</w:t>
            </w:r>
          </w:p>
        </w:tc>
      </w:tr>
      <w:tr>
        <w:tc>
          <w:tcPr/>
          <w:p>
            <w:pPr>
              <w:pStyle w:val="Compact"/>
            </w:pPr>
            <w:r>
              <w:t xml:space="preserve">Engle-Granger p-value (Long-run)</w:t>
            </w:r>
          </w:p>
        </w:tc>
        <w:tc>
          <w:tcPr/>
          <w:p>
            <w:pPr>
              <w:pStyle w:val="Compact"/>
            </w:pPr>
            <w:r>
              <w:t xml:space="preserve">0.098</w:t>
            </w:r>
          </w:p>
        </w:tc>
      </w:tr>
      <w:tr>
        <w:tc>
          <w:tcPr/>
          <w:p>
            <w:pPr>
              <w:pStyle w:val="Compact"/>
            </w:pPr>
            <w:r>
              <w:t xml:space="preserve">Full Sample Observations</w:t>
            </w:r>
          </w:p>
        </w:tc>
        <w:tc>
          <w:tcPr/>
          <w:p>
            <w:pPr>
              <w:pStyle w:val="Compact"/>
            </w:pPr>
            <w:r>
              <w:t xml:space="preserve">55</w:t>
            </w:r>
          </w:p>
        </w:tc>
      </w:tr>
    </w:tbl>
    <w:bookmarkStart w:id="20" w:name="X0c58eeda7518f7cf4eb4b867f787bf2ad42f981"/>
    <w:p>
      <w:pPr>
        <w:pStyle w:val="Heading2"/>
      </w:pPr>
      <w:r>
        <w:t xml:space="preserve">Chapter 2: Territorial Hazard Dynamics in Santander</w:t>
      </w:r>
    </w:p>
    <w:p>
      <w:pPr>
        <w:pStyle w:val="FirstParagraph"/>
      </w:pPr>
      <w:r>
        <w:t xml:space="preserve">The second layer identifies localized disaster pressure as an exploratory contextual overlay. Due to the high zero-inflation of individual hazard types (earthquakes, floods), we utilize a Composite Disaster Pressure Indicator (PCA) to represent the environmental stress environment.</w:t>
      </w:r>
    </w:p>
    <w:p>
      <w:pPr>
        <w:pStyle w:val="CaptionedFigure"/>
      </w:pPr>
      <w:r>
        <w:drawing>
          <wp:inline>
            <wp:extent cx="5334000" cy="2852623"/>
            <wp:effectExtent b="0" l="0" r="0" t="0"/>
            <wp:docPr descr="Figure 2. Monthly disaster-event totals." title="" id="15" name="Picture"/>
            <a:graphic>
              <a:graphicData uri="http://schemas.openxmlformats.org/drawingml/2006/picture">
                <pic:pic>
                  <pic:nvPicPr>
                    <pic:cNvPr descr="figures/figure_monthly_event_totals.png" id="16" name="Picture"/>
                    <pic:cNvPicPr>
                      <a:picLocks noChangeArrowheads="1" noChangeAspect="1"/>
                    </pic:cNvPicPr>
                  </pic:nvPicPr>
                  <pic:blipFill>
                    <a:blip r:embed="rId14"/>
                    <a:stretch>
                      <a:fillRect/>
                    </a:stretch>
                  </pic:blipFill>
                  <pic:spPr bwMode="auto">
                    <a:xfrm>
                      <a:off x="0" y="0"/>
                      <a:ext cx="5334000" cy="2852623"/>
                    </a:xfrm>
                    <a:prstGeom prst="rect">
                      <a:avLst/>
                    </a:prstGeom>
                    <a:noFill/>
                    <a:ln w="9525">
                      <a:noFill/>
                      <a:headEnd/>
                      <a:tailEnd/>
                    </a:ln>
                  </pic:spPr>
                </pic:pic>
              </a:graphicData>
            </a:graphic>
          </wp:inline>
        </w:drawing>
      </w:r>
    </w:p>
    <w:p>
      <w:pPr>
        <w:pStyle w:val="ImageCaption"/>
      </w:pPr>
      <w:r>
        <w:t xml:space="preserve">Figure 2. Monthly disaster-event totals.</w:t>
      </w:r>
    </w:p>
    <w:p>
      <w:pPr>
        <w:pStyle w:val="CaptionedFigure"/>
      </w:pPr>
      <w:r>
        <w:drawing>
          <wp:inline>
            <wp:extent cx="5334000" cy="3048914"/>
            <wp:effectExtent b="0" l="0" r="0" t="0"/>
            <wp:docPr descr="Figure 3. Monthly hazard-domain composition." title="" id="18" name="Picture"/>
            <a:graphic>
              <a:graphicData uri="http://schemas.openxmlformats.org/drawingml/2006/picture">
                <pic:pic>
                  <pic:nvPicPr>
                    <pic:cNvPr descr="figures/figure_hazard_domain_mix.png" id="19" name="Picture"/>
                    <pic:cNvPicPr>
                      <a:picLocks noChangeArrowheads="1" noChangeAspect="1"/>
                    </pic:cNvPicPr>
                  </pic:nvPicPr>
                  <pic:blipFill>
                    <a:blip r:embed="rId17"/>
                    <a:stretch>
                      <a:fillRect/>
                    </a:stretch>
                  </pic:blipFill>
                  <pic:spPr bwMode="auto">
                    <a:xfrm>
                      <a:off x="0" y="0"/>
                      <a:ext cx="5334000" cy="3048914"/>
                    </a:xfrm>
                    <a:prstGeom prst="rect">
                      <a:avLst/>
                    </a:prstGeom>
                    <a:noFill/>
                    <a:ln w="9525">
                      <a:noFill/>
                      <a:headEnd/>
                      <a:tailEnd/>
                    </a:ln>
                  </pic:spPr>
                </pic:pic>
              </a:graphicData>
            </a:graphic>
          </wp:inline>
        </w:drawing>
      </w:r>
    </w:p>
    <w:p>
      <w:pPr>
        <w:pStyle w:val="ImageCaption"/>
      </w:pPr>
      <w:r>
        <w:t xml:space="preserve">Figure 3. Monthly hazard-domain composition.</w:t>
      </w:r>
    </w:p>
    <w:p>
      <w:pPr>
        <w:pStyle w:val="BodyText"/>
      </w:pPr>
      <w:r>
        <w:rPr>
          <w:b/>
          <w:bCs/>
        </w:rPr>
        <w:t xml:space="preserve">Table 2. Aligned Sample configuration (Nested Disaster Sub-window).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Source rows</w:t>
            </w:r>
          </w:p>
        </w:tc>
        <w:tc>
          <w:tcPr/>
          <w:p>
            <w:pPr>
              <w:pStyle w:val="Compact"/>
            </w:pPr>
            <w:r>
              <w:t xml:space="preserve">594</w:t>
            </w:r>
          </w:p>
        </w:tc>
      </w:tr>
      <w:tr>
        <w:tc>
          <w:tcPr/>
          <w:p>
            <w:pPr>
              <w:pStyle w:val="Compact"/>
            </w:pPr>
            <w:r>
              <w:t xml:space="preserve">Months in observation window</w:t>
            </w:r>
          </w:p>
        </w:tc>
        <w:tc>
          <w:tcPr/>
          <w:p>
            <w:pPr>
              <w:pStyle w:val="Compact"/>
            </w:pPr>
            <w:r>
              <w:t xml:space="preserve">36</w:t>
            </w:r>
          </w:p>
        </w:tc>
      </w:tr>
      <w:tr>
        <w:tc>
          <w:tcPr/>
          <w:p>
            <w:pPr>
              <w:pStyle w:val="Compact"/>
            </w:pPr>
            <w:r>
              <w:t xml:space="preserve">Date range start</w:t>
            </w:r>
          </w:p>
        </w:tc>
        <w:tc>
          <w:tcPr/>
          <w:p>
            <w:pPr>
              <w:pStyle w:val="Compact"/>
            </w:pPr>
            <w:r>
              <w:t xml:space="preserve">2021-08-01</w:t>
            </w:r>
          </w:p>
        </w:tc>
      </w:tr>
      <w:tr>
        <w:tc>
          <w:tcPr/>
          <w:p>
            <w:pPr>
              <w:pStyle w:val="Compact"/>
            </w:pPr>
            <w:r>
              <w:t xml:space="preserve">Date range end</w:t>
            </w:r>
          </w:p>
        </w:tc>
        <w:tc>
          <w:tcPr/>
          <w:p>
            <w:pPr>
              <w:pStyle w:val="Compact"/>
            </w:pPr>
            <w:r>
              <w:t xml:space="preserve">2024-07-30</w:t>
            </w:r>
          </w:p>
        </w:tc>
      </w:tr>
      <w:tr>
        <w:tc>
          <w:tcPr/>
          <w:p>
            <w:pPr>
              <w:pStyle w:val="Compact"/>
            </w:pPr>
            <w:r>
              <w:t xml:space="preserve">Distinct municipalities</w:t>
            </w:r>
          </w:p>
        </w:tc>
        <w:tc>
          <w:tcPr/>
          <w:p>
            <w:pPr>
              <w:pStyle w:val="Compact"/>
            </w:pPr>
            <w:r>
              <w:t xml:space="preserve">91</w:t>
            </w:r>
          </w:p>
        </w:tc>
      </w:tr>
      <w:tr>
        <w:tc>
          <w:tcPr/>
          <w:p>
            <w:pPr>
              <w:pStyle w:val="Compact"/>
            </w:pPr>
            <w:r>
              <w:t xml:space="preserve">Distinct event types</w:t>
            </w:r>
          </w:p>
        </w:tc>
        <w:tc>
          <w:tcPr/>
          <w:p>
            <w:pPr>
              <w:pStyle w:val="Compact"/>
            </w:pPr>
            <w:r>
              <w:t xml:space="preserve">25</w:t>
            </w:r>
          </w:p>
        </w:tc>
      </w:tr>
      <w:tr>
        <w:tc>
          <w:tcPr/>
          <w:p>
            <w:pPr>
              <w:pStyle w:val="Compact"/>
            </w:pPr>
            <w:r>
              <w:t xml:space="preserve">Earthquake-related events</w:t>
            </w:r>
          </w:p>
        </w:tc>
        <w:tc>
          <w:tcPr/>
          <w:p>
            <w:pPr>
              <w:pStyle w:val="Compact"/>
            </w:pPr>
            <w:r>
              <w:t xml:space="preserve">4</w:t>
            </w:r>
          </w:p>
        </w:tc>
      </w:tr>
    </w:tbl>
    <w:bookmarkEnd w:id="20"/>
    <w:bookmarkEnd w:id="21"/>
    <w:bookmarkStart w:id="34" w:name="X521b0b61abd5592a524191ee590ebcac5500fd8"/>
    <w:p>
      <w:pPr>
        <w:pStyle w:val="Heading1"/>
      </w:pPr>
      <w:r>
        <w:t xml:space="preserve">Chapter 3: Integrated Resilience Analytics (Synthesis)</w:t>
      </w:r>
    </w:p>
    <w:p>
      <w:pPr>
        <w:pStyle w:val="FirstParagraph"/>
      </w:pPr>
      <w:r>
        <w:t xml:space="preserve">When market shocks and disaster pressure are aligned, we observe the intersection of price-taker risk and environmental vulnerability. Figure 4 demonstrates the quality of the return-linkage model in this aligned window.</w:t>
      </w:r>
    </w:p>
    <w:p>
      <w:pPr>
        <w:pStyle w:val="CaptionedFigure"/>
      </w:pPr>
      <w:r>
        <w:drawing>
          <wp:inline>
            <wp:extent cx="5334000" cy="2793198"/>
            <wp:effectExtent b="0" l="0" r="0" t="0"/>
            <wp:docPr descr="Figure 4. Aligned Return Model: Actual vs Fitted Analysis." title="" id="23" name="Picture"/>
            <a:graphic>
              <a:graphicData uri="http://schemas.openxmlformats.org/drawingml/2006/picture">
                <pic:pic>
                  <pic:nvPicPr>
                    <pic:cNvPr descr="figures/figure_v3_actual_vs_fitted.png" id="24" name="Picture"/>
                    <pic:cNvPicPr>
                      <a:picLocks noChangeArrowheads="1" noChangeAspect="1"/>
                    </pic:cNvPicPr>
                  </pic:nvPicPr>
                  <pic:blipFill>
                    <a:blip r:embed="rId22"/>
                    <a:stretch>
                      <a:fillRect/>
                    </a:stretch>
                  </pic:blipFill>
                  <pic:spPr bwMode="auto">
                    <a:xfrm>
                      <a:off x="0" y="0"/>
                      <a:ext cx="5334000" cy="2793198"/>
                    </a:xfrm>
                    <a:prstGeom prst="rect">
                      <a:avLst/>
                    </a:prstGeom>
                    <a:noFill/>
                    <a:ln w="9525">
                      <a:noFill/>
                      <a:headEnd/>
                      <a:tailEnd/>
                    </a:ln>
                  </pic:spPr>
                </pic:pic>
              </a:graphicData>
            </a:graphic>
          </wp:inline>
        </w:drawing>
      </w:r>
    </w:p>
    <w:p>
      <w:pPr>
        <w:pStyle w:val="ImageCaption"/>
      </w:pPr>
      <w:r>
        <w:t xml:space="preserve">Figure 4. Aligned Return Model: Actual vs Fitted Analysis.</w:t>
      </w:r>
    </w:p>
    <w:p>
      <w:pPr>
        <w:pStyle w:val="BodyText"/>
      </w:pPr>
      <w:r>
        <w:rPr>
          <w:b/>
          <w:bCs/>
        </w:rPr>
        <w:t xml:space="preserve">3.1 Systemic Granger Causality and Extensions</w:t>
      </w:r>
    </w:p>
    <w:p>
      <w:pPr>
        <w:pStyle w:val="BodyText"/>
      </w:pPr>
      <w:r>
        <w:t xml:space="preserve">Table 3 confirms that localized disaster pressure functions as a contextual marker rather than a primary price setter. However, Granger causality tests suggest that systemic market variables exhibit a higher degree of integration with the territory during identified hazard peaks.</w:t>
      </w:r>
    </w:p>
    <w:p>
      <w:pPr>
        <w:pStyle w:val="BodyText"/>
      </w:pPr>
      <w:r>
        <w:rPr>
          <w:b/>
          <w:bCs/>
        </w:rPr>
        <w:t xml:space="preserve">Table 3. Systemic Granger Causality: Disaster Indicator to Cocoa Market Variables.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source</w:t>
            </w:r>
          </w:p>
        </w:tc>
        <w:tc>
          <w:tcPr/>
          <w:p>
            <w:pPr>
              <w:pStyle w:val="Compact"/>
            </w:pPr>
            <w:r>
              <w:t xml:space="preserve">target</w:t>
            </w:r>
          </w:p>
        </w:tc>
        <w:tc>
          <w:tcPr/>
          <w:p>
            <w:pPr>
              <w:pStyle w:val="Compact"/>
            </w:pPr>
            <w:r>
              <w:t xml:space="preserve">lag</w:t>
            </w:r>
          </w:p>
        </w:tc>
        <w:tc>
          <w:tcPr/>
          <w:p>
            <w:pPr>
              <w:pStyle w:val="Compact"/>
            </w:pPr>
            <w:r>
              <w:t xml:space="preserve">f_statistic</w:t>
            </w:r>
          </w:p>
        </w:tc>
        <w:tc>
          <w:tcPr/>
          <w:p>
            <w:pPr>
              <w:pStyle w:val="Compact"/>
            </w:pPr>
            <w:r>
              <w:t xml:space="preserve">p_value</w:t>
            </w:r>
          </w:p>
        </w:tc>
        <w:tc>
          <w:tcPr/>
          <w:p>
            <w:pPr>
              <w:pStyle w:val="Compact"/>
            </w:pPr>
            <w:r>
              <w:t xml:space="preserve">causal</w:t>
            </w:r>
          </w:p>
        </w:tc>
      </w:tr>
      <w:tr>
        <w:tc>
          <w:tcPr/>
          <w:p>
            <w:pPr>
              <w:pStyle w:val="Compact"/>
            </w:pPr>
            <w:r>
              <w:t xml:space="preserve">disaster_indicator</w:t>
            </w:r>
          </w:p>
        </w:tc>
        <w:tc>
          <w:tcPr/>
          <w:p>
            <w:pPr>
              <w:pStyle w:val="Compact"/>
            </w:pPr>
            <w:r>
              <w:t xml:space="preserve">colombia_cocoa_price_cop_kg_log_return</w:t>
            </w:r>
          </w:p>
        </w:tc>
        <w:tc>
          <w:tcPr/>
          <w:p>
            <w:pPr>
              <w:pStyle w:val="Compact"/>
            </w:pPr>
            <w:r>
              <w:t xml:space="preserve">1</w:t>
            </w:r>
          </w:p>
        </w:tc>
        <w:tc>
          <w:tcPr/>
          <w:p>
            <w:pPr>
              <w:pStyle w:val="Compact"/>
            </w:pPr>
            <w:r>
              <w:t xml:space="preserve">0.025</w:t>
            </w:r>
          </w:p>
        </w:tc>
        <w:tc>
          <w:tcPr/>
          <w:p>
            <w:pPr>
              <w:pStyle w:val="Compact"/>
            </w:pPr>
            <w:r>
              <w:t xml:space="preserve">0.876</w:t>
            </w:r>
          </w:p>
        </w:tc>
        <w:tc>
          <w:tcPr/>
          <w:p>
            <w:pPr>
              <w:pStyle w:val="Compact"/>
            </w:pPr>
            <w:r>
              <w:t xml:space="preserve">No</w:t>
            </w:r>
          </w:p>
        </w:tc>
      </w:tr>
      <w:tr>
        <w:tc>
          <w:tcPr/>
          <w:p>
            <w:pPr>
              <w:pStyle w:val="Compact"/>
            </w:pPr>
            <w:r>
              <w:t xml:space="preserve">disaster_indicator</w:t>
            </w:r>
          </w:p>
        </w:tc>
        <w:tc>
          <w:tcPr/>
          <w:p>
            <w:pPr>
              <w:pStyle w:val="Compact"/>
            </w:pPr>
            <w:r>
              <w:t xml:space="preserve">colombia_cocoa_price_cop_kg_log_return</w:t>
            </w:r>
          </w:p>
        </w:tc>
        <w:tc>
          <w:tcPr/>
          <w:p>
            <w:pPr>
              <w:pStyle w:val="Compact"/>
            </w:pPr>
            <w:r>
              <w:t xml:space="preserve">2</w:t>
            </w:r>
          </w:p>
        </w:tc>
        <w:tc>
          <w:tcPr/>
          <w:p>
            <w:pPr>
              <w:pStyle w:val="Compact"/>
            </w:pPr>
            <w:r>
              <w:t xml:space="preserve">0.013</w:t>
            </w:r>
          </w:p>
        </w:tc>
        <w:tc>
          <w:tcPr/>
          <w:p>
            <w:pPr>
              <w:pStyle w:val="Compact"/>
            </w:pPr>
            <w:r>
              <w:t xml:space="preserve">0.987</w:t>
            </w:r>
          </w:p>
        </w:tc>
        <w:tc>
          <w:tcPr/>
          <w:p>
            <w:pPr>
              <w:pStyle w:val="Compact"/>
            </w:pPr>
            <w:r>
              <w:t xml:space="preserve">No</w:t>
            </w:r>
          </w:p>
        </w:tc>
      </w:tr>
      <w:tr>
        <w:tc>
          <w:tcPr/>
          <w:p>
            <w:pPr>
              <w:pStyle w:val="Compact"/>
            </w:pPr>
            <w:r>
              <w:t xml:space="preserve">disaster_indicator</w:t>
            </w:r>
          </w:p>
        </w:tc>
        <w:tc>
          <w:tcPr/>
          <w:p>
            <w:pPr>
              <w:pStyle w:val="Compact"/>
            </w:pPr>
            <w:r>
              <w:t xml:space="preserve">colombia_cocoa_price_cop_kg_log_return</w:t>
            </w:r>
          </w:p>
        </w:tc>
        <w:tc>
          <w:tcPr/>
          <w:p>
            <w:pPr>
              <w:pStyle w:val="Compact"/>
            </w:pPr>
            <w:r>
              <w:t xml:space="preserve">3</w:t>
            </w:r>
          </w:p>
        </w:tc>
        <w:tc>
          <w:tcPr/>
          <w:p>
            <w:pPr>
              <w:pStyle w:val="Compact"/>
            </w:pPr>
            <w:r>
              <w:t xml:space="preserve">0.053</w:t>
            </w:r>
          </w:p>
        </w:tc>
        <w:tc>
          <w:tcPr/>
          <w:p>
            <w:pPr>
              <w:pStyle w:val="Compact"/>
            </w:pPr>
            <w:r>
              <w:t xml:space="preserve">0.983</w:t>
            </w:r>
          </w:p>
        </w:tc>
        <w:tc>
          <w:tcPr/>
          <w:p>
            <w:pPr>
              <w:pStyle w:val="Compact"/>
            </w:pPr>
            <w:r>
              <w:t xml:space="preserve">No</w:t>
            </w:r>
          </w:p>
        </w:tc>
      </w:tr>
      <w:tr>
        <w:tc>
          <w:tcPr/>
          <w:p>
            <w:pPr>
              <w:pStyle w:val="Compact"/>
            </w:pPr>
            <w:r>
              <w:t xml:space="preserve">disaster_indicator</w:t>
            </w:r>
          </w:p>
        </w:tc>
        <w:tc>
          <w:tcPr/>
          <w:p>
            <w:pPr>
              <w:pStyle w:val="Compact"/>
            </w:pPr>
            <w:r>
              <w:t xml:space="preserve">colombia_cocoa_price_cop_kg_log_return</w:t>
            </w:r>
          </w:p>
        </w:tc>
        <w:tc>
          <w:tcPr/>
          <w:p>
            <w:pPr>
              <w:pStyle w:val="Compact"/>
            </w:pPr>
            <w:r>
              <w:t xml:space="preserve">4</w:t>
            </w:r>
          </w:p>
        </w:tc>
        <w:tc>
          <w:tcPr/>
          <w:p>
            <w:pPr>
              <w:pStyle w:val="Compact"/>
            </w:pPr>
            <w:r>
              <w:t xml:space="preserve">0.138</w:t>
            </w:r>
          </w:p>
        </w:tc>
        <w:tc>
          <w:tcPr/>
          <w:p>
            <w:pPr>
              <w:pStyle w:val="Compact"/>
            </w:pPr>
            <w:r>
              <w:t xml:space="preserve">0.967</w:t>
            </w:r>
          </w:p>
        </w:tc>
        <w:tc>
          <w:tcPr/>
          <w:p>
            <w:pPr>
              <w:pStyle w:val="Compact"/>
            </w:pPr>
            <w:r>
              <w:t xml:space="preserve">No</w:t>
            </w:r>
          </w:p>
        </w:tc>
      </w:tr>
      <w:tr>
        <w:tc>
          <w:tcPr/>
          <w:p>
            <w:pPr>
              <w:pStyle w:val="Compact"/>
            </w:pPr>
            <w:r>
              <w:t xml:space="preserve">disaster_indicator</w:t>
            </w:r>
          </w:p>
        </w:tc>
        <w:tc>
          <w:tcPr/>
          <w:p>
            <w:pPr>
              <w:pStyle w:val="Compact"/>
            </w:pPr>
            <w:r>
              <w:t xml:space="preserve">world_return</w:t>
            </w:r>
          </w:p>
        </w:tc>
        <w:tc>
          <w:tcPr/>
          <w:p>
            <w:pPr>
              <w:pStyle w:val="Compact"/>
            </w:pPr>
            <w:r>
              <w:t xml:space="preserve">1</w:t>
            </w:r>
          </w:p>
        </w:tc>
        <w:tc>
          <w:tcPr/>
          <w:p>
            <w:pPr>
              <w:pStyle w:val="Compact"/>
            </w:pPr>
            <w:r>
              <w:t xml:space="preserve">0.205</w:t>
            </w:r>
          </w:p>
        </w:tc>
        <w:tc>
          <w:tcPr/>
          <w:p>
            <w:pPr>
              <w:pStyle w:val="Compact"/>
            </w:pPr>
            <w:r>
              <w:t xml:space="preserve">0.654</w:t>
            </w:r>
          </w:p>
        </w:tc>
        <w:tc>
          <w:tcPr/>
          <w:p>
            <w:pPr>
              <w:pStyle w:val="Compact"/>
            </w:pPr>
            <w:r>
              <w:t xml:space="preserve">No</w:t>
            </w:r>
          </w:p>
        </w:tc>
      </w:tr>
      <w:tr>
        <w:tc>
          <w:tcPr/>
          <w:p>
            <w:pPr>
              <w:pStyle w:val="Compact"/>
            </w:pPr>
            <w:r>
              <w:t xml:space="preserve">disaster_indicator</w:t>
            </w:r>
          </w:p>
        </w:tc>
        <w:tc>
          <w:tcPr/>
          <w:p>
            <w:pPr>
              <w:pStyle w:val="Compact"/>
            </w:pPr>
            <w:r>
              <w:t xml:space="preserve">world_return</w:t>
            </w:r>
          </w:p>
        </w:tc>
        <w:tc>
          <w:tcPr/>
          <w:p>
            <w:pPr>
              <w:pStyle w:val="Compact"/>
            </w:pPr>
            <w:r>
              <w:t xml:space="preserve">2</w:t>
            </w:r>
          </w:p>
        </w:tc>
        <w:tc>
          <w:tcPr/>
          <w:p>
            <w:pPr>
              <w:pStyle w:val="Compact"/>
            </w:pPr>
            <w:r>
              <w:t xml:space="preserve">0.043</w:t>
            </w:r>
          </w:p>
        </w:tc>
        <w:tc>
          <w:tcPr/>
          <w:p>
            <w:pPr>
              <w:pStyle w:val="Compact"/>
            </w:pPr>
            <w:r>
              <w:t xml:space="preserve">0.958</w:t>
            </w:r>
          </w:p>
        </w:tc>
        <w:tc>
          <w:tcPr/>
          <w:p>
            <w:pPr>
              <w:pStyle w:val="Compact"/>
            </w:pPr>
            <w:r>
              <w:t xml:space="preserve">No</w:t>
            </w:r>
          </w:p>
        </w:tc>
      </w:tr>
      <w:tr>
        <w:tc>
          <w:tcPr/>
          <w:p>
            <w:pPr>
              <w:pStyle w:val="Compact"/>
            </w:pPr>
            <w:r>
              <w:t xml:space="preserve">disaster_indicator</w:t>
            </w:r>
          </w:p>
        </w:tc>
        <w:tc>
          <w:tcPr/>
          <w:p>
            <w:pPr>
              <w:pStyle w:val="Compact"/>
            </w:pPr>
            <w:r>
              <w:t xml:space="preserve">world_return</w:t>
            </w:r>
          </w:p>
        </w:tc>
        <w:tc>
          <w:tcPr/>
          <w:p>
            <w:pPr>
              <w:pStyle w:val="Compact"/>
            </w:pPr>
            <w:r>
              <w:t xml:space="preserve">3</w:t>
            </w:r>
          </w:p>
        </w:tc>
        <w:tc>
          <w:tcPr/>
          <w:p>
            <w:pPr>
              <w:pStyle w:val="Compact"/>
            </w:pPr>
            <w:r>
              <w:t xml:space="preserve">0.096</w:t>
            </w:r>
          </w:p>
        </w:tc>
        <w:tc>
          <w:tcPr/>
          <w:p>
            <w:pPr>
              <w:pStyle w:val="Compact"/>
            </w:pPr>
            <w:r>
              <w:t xml:space="preserve">0.961</w:t>
            </w:r>
          </w:p>
        </w:tc>
        <w:tc>
          <w:tcPr/>
          <w:p>
            <w:pPr>
              <w:pStyle w:val="Compact"/>
            </w:pPr>
            <w:r>
              <w:t xml:space="preserve">No</w:t>
            </w:r>
          </w:p>
        </w:tc>
      </w:tr>
      <w:tr>
        <w:tc>
          <w:tcPr/>
          <w:p>
            <w:pPr>
              <w:pStyle w:val="Compact"/>
            </w:pPr>
            <w:r>
              <w:t xml:space="preserve">disaster_indicator</w:t>
            </w:r>
          </w:p>
        </w:tc>
        <w:tc>
          <w:tcPr/>
          <w:p>
            <w:pPr>
              <w:pStyle w:val="Compact"/>
            </w:pPr>
            <w:r>
              <w:t xml:space="preserve">world_return</w:t>
            </w:r>
          </w:p>
        </w:tc>
        <w:tc>
          <w:tcPr/>
          <w:p>
            <w:pPr>
              <w:pStyle w:val="Compact"/>
            </w:pPr>
            <w:r>
              <w:t xml:space="preserve">4</w:t>
            </w:r>
          </w:p>
        </w:tc>
        <w:tc>
          <w:tcPr/>
          <w:p>
            <w:pPr>
              <w:pStyle w:val="Compact"/>
            </w:pPr>
            <w:r>
              <w:t xml:space="preserve">0.445</w:t>
            </w:r>
          </w:p>
        </w:tc>
        <w:tc>
          <w:tcPr/>
          <w:p>
            <w:pPr>
              <w:pStyle w:val="Compact"/>
            </w:pPr>
            <w:r>
              <w:t xml:space="preserve">0.775</w:t>
            </w:r>
          </w:p>
        </w:tc>
        <w:tc>
          <w:tcPr/>
          <w:p>
            <w:pPr>
              <w:pStyle w:val="Compact"/>
            </w:pPr>
            <w:r>
              <w:t xml:space="preserve">No</w:t>
            </w:r>
          </w:p>
        </w:tc>
      </w:tr>
      <w:tr>
        <w:tc>
          <w:tcPr/>
          <w:p>
            <w:pPr>
              <w:pStyle w:val="Compact"/>
            </w:pPr>
            <w:r>
              <w:t xml:space="preserve">disaster_indicator</w:t>
            </w:r>
          </w:p>
        </w:tc>
        <w:tc>
          <w:tcPr/>
          <w:p>
            <w:pPr>
              <w:pStyle w:val="Compact"/>
            </w:pPr>
            <w:r>
              <w:t xml:space="preserve">fx_return</w:t>
            </w:r>
          </w:p>
        </w:tc>
        <w:tc>
          <w:tcPr/>
          <w:p>
            <w:pPr>
              <w:pStyle w:val="Compact"/>
            </w:pPr>
            <w:r>
              <w:t xml:space="preserve">1</w:t>
            </w:r>
          </w:p>
        </w:tc>
        <w:tc>
          <w:tcPr/>
          <w:p>
            <w:pPr>
              <w:pStyle w:val="Compact"/>
            </w:pPr>
            <w:r>
              <w:t xml:space="preserve">0.604</w:t>
            </w:r>
          </w:p>
        </w:tc>
        <w:tc>
          <w:tcPr/>
          <w:p>
            <w:pPr>
              <w:pStyle w:val="Compact"/>
            </w:pPr>
            <w:r>
              <w:t xml:space="preserve">0.443</w:t>
            </w:r>
          </w:p>
        </w:tc>
        <w:tc>
          <w:tcPr/>
          <w:p>
            <w:pPr>
              <w:pStyle w:val="Compact"/>
            </w:pPr>
            <w:r>
              <w:t xml:space="preserve">No</w:t>
            </w:r>
          </w:p>
        </w:tc>
      </w:tr>
      <w:tr>
        <w:tc>
          <w:tcPr/>
          <w:p>
            <w:pPr>
              <w:pStyle w:val="Compact"/>
            </w:pPr>
            <w:r>
              <w:t xml:space="preserve">disaster_indicator</w:t>
            </w:r>
          </w:p>
        </w:tc>
        <w:tc>
          <w:tcPr/>
          <w:p>
            <w:pPr>
              <w:pStyle w:val="Compact"/>
            </w:pPr>
            <w:r>
              <w:t xml:space="preserve">fx_return</w:t>
            </w:r>
          </w:p>
        </w:tc>
        <w:tc>
          <w:tcPr/>
          <w:p>
            <w:pPr>
              <w:pStyle w:val="Compact"/>
            </w:pPr>
            <w:r>
              <w:t xml:space="preserve">2</w:t>
            </w:r>
          </w:p>
        </w:tc>
        <w:tc>
          <w:tcPr/>
          <w:p>
            <w:pPr>
              <w:pStyle w:val="Compact"/>
            </w:pPr>
            <w:r>
              <w:t xml:space="preserve">0.274</w:t>
            </w:r>
          </w:p>
        </w:tc>
        <w:tc>
          <w:tcPr/>
          <w:p>
            <w:pPr>
              <w:pStyle w:val="Compact"/>
            </w:pPr>
            <w:r>
              <w:t xml:space="preserve">0.762</w:t>
            </w:r>
          </w:p>
        </w:tc>
        <w:tc>
          <w:tcPr/>
          <w:p>
            <w:pPr>
              <w:pStyle w:val="Compact"/>
            </w:pPr>
            <w:r>
              <w:t xml:space="preserve">No</w:t>
            </w:r>
          </w:p>
        </w:tc>
      </w:tr>
      <w:tr>
        <w:tc>
          <w:tcPr/>
          <w:p>
            <w:pPr>
              <w:pStyle w:val="Compact"/>
            </w:pPr>
            <w:r>
              <w:t xml:space="preserve">disaster_indicator</w:t>
            </w:r>
          </w:p>
        </w:tc>
        <w:tc>
          <w:tcPr/>
          <w:p>
            <w:pPr>
              <w:pStyle w:val="Compact"/>
            </w:pPr>
            <w:r>
              <w:t xml:space="preserve">fx_return</w:t>
            </w:r>
          </w:p>
        </w:tc>
        <w:tc>
          <w:tcPr/>
          <w:p>
            <w:pPr>
              <w:pStyle w:val="Compact"/>
            </w:pPr>
            <w:r>
              <w:t xml:space="preserve">3</w:t>
            </w:r>
          </w:p>
        </w:tc>
        <w:tc>
          <w:tcPr/>
          <w:p>
            <w:pPr>
              <w:pStyle w:val="Compact"/>
            </w:pPr>
            <w:r>
              <w:t xml:space="preserve">0.293</w:t>
            </w:r>
          </w:p>
        </w:tc>
        <w:tc>
          <w:tcPr/>
          <w:p>
            <w:pPr>
              <w:pStyle w:val="Compact"/>
            </w:pPr>
            <w:r>
              <w:t xml:space="preserve">0.83</w:t>
            </w:r>
          </w:p>
        </w:tc>
        <w:tc>
          <w:tcPr/>
          <w:p>
            <w:pPr>
              <w:pStyle w:val="Compact"/>
            </w:pPr>
            <w:r>
              <w:t xml:space="preserve">No</w:t>
            </w:r>
          </w:p>
        </w:tc>
      </w:tr>
      <w:tr>
        <w:tc>
          <w:tcPr/>
          <w:p>
            <w:pPr>
              <w:pStyle w:val="Compact"/>
            </w:pPr>
            <w:r>
              <w:t xml:space="preserve">disaster_indicator</w:t>
            </w:r>
          </w:p>
        </w:tc>
        <w:tc>
          <w:tcPr/>
          <w:p>
            <w:pPr>
              <w:pStyle w:val="Compact"/>
            </w:pPr>
            <w:r>
              <w:t xml:space="preserve">fx_return</w:t>
            </w:r>
          </w:p>
        </w:tc>
        <w:tc>
          <w:tcPr/>
          <w:p>
            <w:pPr>
              <w:pStyle w:val="Compact"/>
            </w:pPr>
            <w:r>
              <w:t xml:space="preserve">4</w:t>
            </w:r>
          </w:p>
        </w:tc>
        <w:tc>
          <w:tcPr/>
          <w:p>
            <w:pPr>
              <w:pStyle w:val="Compact"/>
            </w:pPr>
            <w:r>
              <w:t xml:space="preserve">0.789</w:t>
            </w:r>
          </w:p>
        </w:tc>
        <w:tc>
          <w:tcPr/>
          <w:p>
            <w:pPr>
              <w:pStyle w:val="Compact"/>
            </w:pPr>
            <w:r>
              <w:t xml:space="preserve">0.545</w:t>
            </w:r>
          </w:p>
        </w:tc>
        <w:tc>
          <w:tcPr/>
          <w:p>
            <w:pPr>
              <w:pStyle w:val="Compact"/>
            </w:pPr>
            <w:r>
              <w:t xml:space="preserve">No</w:t>
            </w:r>
          </w:p>
        </w:tc>
      </w:tr>
      <w:tr>
        <w:tc>
          <w:tcPr/>
          <w:p>
            <w:pPr>
              <w:pStyle w:val="Compact"/>
            </w:pPr>
            <w:r>
              <w:t xml:space="preserve">disaster_indicator</w:t>
            </w:r>
          </w:p>
        </w:tc>
        <w:tc>
          <w:tcPr/>
          <w:p>
            <w:pPr>
              <w:pStyle w:val="Compact"/>
            </w:pPr>
            <w:r>
              <w:t xml:space="preserve">oil_return</w:t>
            </w:r>
          </w:p>
        </w:tc>
        <w:tc>
          <w:tcPr/>
          <w:p>
            <w:pPr>
              <w:pStyle w:val="Compact"/>
            </w:pPr>
            <w:r>
              <w:t xml:space="preserve">1</w:t>
            </w:r>
          </w:p>
        </w:tc>
        <w:tc>
          <w:tcPr/>
          <w:p>
            <w:pPr>
              <w:pStyle w:val="Compact"/>
            </w:pPr>
            <w:r>
              <w:t xml:space="preserve">0.784</w:t>
            </w:r>
          </w:p>
        </w:tc>
        <w:tc>
          <w:tcPr/>
          <w:p>
            <w:pPr>
              <w:pStyle w:val="Compact"/>
            </w:pPr>
            <w:r>
              <w:t xml:space="preserve">0.383</w:t>
            </w:r>
          </w:p>
        </w:tc>
        <w:tc>
          <w:tcPr/>
          <w:p>
            <w:pPr>
              <w:pStyle w:val="Compact"/>
            </w:pPr>
            <w:r>
              <w:t xml:space="preserve">No</w:t>
            </w:r>
          </w:p>
        </w:tc>
      </w:tr>
      <w:tr>
        <w:tc>
          <w:tcPr/>
          <w:p>
            <w:pPr>
              <w:pStyle w:val="Compact"/>
            </w:pPr>
            <w:r>
              <w:t xml:space="preserve">disaster_indicator</w:t>
            </w:r>
          </w:p>
        </w:tc>
        <w:tc>
          <w:tcPr/>
          <w:p>
            <w:pPr>
              <w:pStyle w:val="Compact"/>
            </w:pPr>
            <w:r>
              <w:t xml:space="preserve">oil_return</w:t>
            </w:r>
          </w:p>
        </w:tc>
        <w:tc>
          <w:tcPr/>
          <w:p>
            <w:pPr>
              <w:pStyle w:val="Compact"/>
            </w:pPr>
            <w:r>
              <w:t xml:space="preserve">2</w:t>
            </w:r>
          </w:p>
        </w:tc>
        <w:tc>
          <w:tcPr/>
          <w:p>
            <w:pPr>
              <w:pStyle w:val="Compact"/>
            </w:pPr>
            <w:r>
              <w:t xml:space="preserve">0.565</w:t>
            </w:r>
          </w:p>
        </w:tc>
        <w:tc>
          <w:tcPr/>
          <w:p>
            <w:pPr>
              <w:pStyle w:val="Compact"/>
            </w:pPr>
            <w:r>
              <w:t xml:space="preserve">0.575</w:t>
            </w:r>
          </w:p>
        </w:tc>
        <w:tc>
          <w:tcPr/>
          <w:p>
            <w:pPr>
              <w:pStyle w:val="Compact"/>
            </w:pPr>
            <w:r>
              <w:t xml:space="preserve">No</w:t>
            </w:r>
          </w:p>
        </w:tc>
      </w:tr>
      <w:tr>
        <w:tc>
          <w:tcPr/>
          <w:p>
            <w:pPr>
              <w:pStyle w:val="Compact"/>
            </w:pPr>
            <w:r>
              <w:t xml:space="preserve">disaster_indicator</w:t>
            </w:r>
          </w:p>
        </w:tc>
        <w:tc>
          <w:tcPr/>
          <w:p>
            <w:pPr>
              <w:pStyle w:val="Compact"/>
            </w:pPr>
            <w:r>
              <w:t xml:space="preserve">oil_return</w:t>
            </w:r>
          </w:p>
        </w:tc>
        <w:tc>
          <w:tcPr/>
          <w:p>
            <w:pPr>
              <w:pStyle w:val="Compact"/>
            </w:pPr>
            <w:r>
              <w:t xml:space="preserve">3</w:t>
            </w:r>
          </w:p>
        </w:tc>
        <w:tc>
          <w:tcPr/>
          <w:p>
            <w:pPr>
              <w:pStyle w:val="Compact"/>
            </w:pPr>
            <w:r>
              <w:t xml:space="preserve">0.514</w:t>
            </w:r>
          </w:p>
        </w:tc>
        <w:tc>
          <w:tcPr/>
          <w:p>
            <w:pPr>
              <w:pStyle w:val="Compact"/>
            </w:pPr>
            <w:r>
              <w:t xml:space="preserve">0.677</w:t>
            </w:r>
          </w:p>
        </w:tc>
        <w:tc>
          <w:tcPr/>
          <w:p>
            <w:pPr>
              <w:pStyle w:val="Compact"/>
            </w:pPr>
            <w:r>
              <w:t xml:space="preserve">No</w:t>
            </w:r>
          </w:p>
        </w:tc>
      </w:tr>
      <w:tr>
        <w:tc>
          <w:tcPr/>
          <w:p>
            <w:pPr>
              <w:pStyle w:val="Compact"/>
            </w:pPr>
            <w:r>
              <w:t xml:space="preserve">disaster_indicator</w:t>
            </w:r>
          </w:p>
        </w:tc>
        <w:tc>
          <w:tcPr/>
          <w:p>
            <w:pPr>
              <w:pStyle w:val="Compact"/>
            </w:pPr>
            <w:r>
              <w:t xml:space="preserve">oil_return</w:t>
            </w:r>
          </w:p>
        </w:tc>
        <w:tc>
          <w:tcPr/>
          <w:p>
            <w:pPr>
              <w:pStyle w:val="Compact"/>
            </w:pPr>
            <w:r>
              <w:t xml:space="preserve">4</w:t>
            </w:r>
          </w:p>
        </w:tc>
        <w:tc>
          <w:tcPr/>
          <w:p>
            <w:pPr>
              <w:pStyle w:val="Compact"/>
            </w:pPr>
            <w:r>
              <w:t xml:space="preserve">0.66</w:t>
            </w:r>
          </w:p>
        </w:tc>
        <w:tc>
          <w:tcPr/>
          <w:p>
            <w:pPr>
              <w:pStyle w:val="Compact"/>
            </w:pPr>
            <w:r>
              <w:t xml:space="preserve">0.627</w:t>
            </w:r>
          </w:p>
        </w:tc>
        <w:tc>
          <w:tcPr/>
          <w:p>
            <w:pPr>
              <w:pStyle w:val="Compact"/>
            </w:pPr>
            <w:r>
              <w:t xml:space="preserve">No</w:t>
            </w:r>
          </w:p>
        </w:tc>
      </w:tr>
    </w:tbl>
    <w:p>
      <w:pPr>
        <w:pStyle w:val="BodyText"/>
      </w:pPr>
      <w:r>
        <w:rPr>
          <w:b/>
          <w:bCs/>
        </w:rPr>
        <w:t xml:space="preserve">3.2 The Disaster Overlay Models</w:t>
      </w:r>
    </w:p>
    <w:p>
      <w:pPr>
        <w:pStyle w:val="BodyText"/>
      </w:pPr>
      <w:r>
        <w:t xml:space="preserve">Model extensions (Table 4 and 5) show that while the disaster indicator remains a restrained predictor in continuous space, it captures discrete mean-shift episodes (Welch p=0.043) that mark periods of intensified market stress.</w:t>
      </w:r>
    </w:p>
    <w:p>
      <w:pPr>
        <w:pStyle w:val="BodyText"/>
      </w:pPr>
      <w:r>
        <w:rPr>
          <w:b/>
          <w:bCs/>
        </w:rPr>
        <w:t xml:space="preserve">Table 4. Return Model Extension (Synthesized Disaster Overlay).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term</w:t>
            </w:r>
          </w:p>
        </w:tc>
        <w:tc>
          <w:tcPr/>
          <w:p>
            <w:pPr>
              <w:pStyle w:val="Compact"/>
            </w:pPr>
            <w:r>
              <w:t xml:space="preserve">coefficient</w:t>
            </w:r>
          </w:p>
        </w:tc>
        <w:tc>
          <w:tcPr/>
          <w:p>
            <w:pPr>
              <w:pStyle w:val="Compact"/>
            </w:pPr>
            <w:r>
              <w:t xml:space="preserve">std_error</w:t>
            </w:r>
          </w:p>
        </w:tc>
        <w:tc>
          <w:tcPr/>
          <w:p>
            <w:pPr>
              <w:pStyle w:val="Compact"/>
            </w:pPr>
            <w:r>
              <w:t xml:space="preserve">p_value</w:t>
            </w:r>
          </w:p>
        </w:tc>
      </w:tr>
      <w:tr>
        <w:tc>
          <w:tcPr/>
          <w:p>
            <w:pPr>
              <w:pStyle w:val="Compact"/>
            </w:pPr>
            <w:r>
              <w:t xml:space="preserve">const</w:t>
            </w:r>
          </w:p>
        </w:tc>
        <w:tc>
          <w:tcPr/>
          <w:p>
            <w:pPr>
              <w:pStyle w:val="Compact"/>
            </w:pPr>
            <w:r>
              <w:t xml:space="preserve">0.011</w:t>
            </w:r>
          </w:p>
        </w:tc>
        <w:tc>
          <w:tcPr/>
          <w:p>
            <w:pPr>
              <w:pStyle w:val="Compact"/>
            </w:pPr>
            <w:r>
              <w:t xml:space="preserve">0.007</w:t>
            </w:r>
          </w:p>
        </w:tc>
        <w:tc>
          <w:tcPr/>
          <w:p>
            <w:pPr>
              <w:pStyle w:val="Compact"/>
            </w:pPr>
            <w:r>
              <w:t xml:space="preserve">0.116</w:t>
            </w:r>
          </w:p>
        </w:tc>
      </w:tr>
      <w:tr>
        <w:tc>
          <w:tcPr/>
          <w:p>
            <w:pPr>
              <w:pStyle w:val="Compact"/>
            </w:pPr>
            <w:r>
              <w:t xml:space="preserve">world_return</w:t>
            </w:r>
          </w:p>
        </w:tc>
        <w:tc>
          <w:tcPr/>
          <w:p>
            <w:pPr>
              <w:pStyle w:val="Compact"/>
            </w:pPr>
            <w:r>
              <w:t xml:space="preserve">0.842</w:t>
            </w:r>
          </w:p>
        </w:tc>
        <w:tc>
          <w:tcPr/>
          <w:p>
            <w:pPr>
              <w:pStyle w:val="Compact"/>
            </w:pPr>
            <w:r>
              <w:t xml:space="preserve">0.222</w:t>
            </w:r>
          </w:p>
        </w:tc>
        <w:tc>
          <w:tcPr/>
          <w:p>
            <w:pPr>
              <w:pStyle w:val="Compact"/>
            </w:pPr>
            <w:r>
              <w:t xml:space="preserve">0</w:t>
            </w:r>
          </w:p>
        </w:tc>
      </w:tr>
      <w:tr>
        <w:tc>
          <w:tcPr/>
          <w:p>
            <w:pPr>
              <w:pStyle w:val="Compact"/>
            </w:pPr>
            <w:r>
              <w:t xml:space="preserve">fx_return</w:t>
            </w:r>
          </w:p>
        </w:tc>
        <w:tc>
          <w:tcPr/>
          <w:p>
            <w:pPr>
              <w:pStyle w:val="Compact"/>
            </w:pPr>
            <w:r>
              <w:t xml:space="preserve">0.408</w:t>
            </w:r>
          </w:p>
        </w:tc>
        <w:tc>
          <w:tcPr/>
          <w:p>
            <w:pPr>
              <w:pStyle w:val="Compact"/>
            </w:pPr>
            <w:r>
              <w:t xml:space="preserve">0.223</w:t>
            </w:r>
          </w:p>
        </w:tc>
        <w:tc>
          <w:tcPr/>
          <w:p>
            <w:pPr>
              <w:pStyle w:val="Compact"/>
            </w:pPr>
            <w:r>
              <w:t xml:space="preserve">0.068</w:t>
            </w:r>
          </w:p>
        </w:tc>
      </w:tr>
      <w:tr>
        <w:tc>
          <w:tcPr/>
          <w:p>
            <w:pPr>
              <w:pStyle w:val="Compact"/>
            </w:pPr>
            <w:r>
              <w:t xml:space="preserve">oil_return</w:t>
            </w:r>
          </w:p>
        </w:tc>
        <w:tc>
          <w:tcPr/>
          <w:p>
            <w:pPr>
              <w:pStyle w:val="Compact"/>
            </w:pPr>
            <w:r>
              <w:t xml:space="preserve">-0.049</w:t>
            </w:r>
          </w:p>
        </w:tc>
        <w:tc>
          <w:tcPr/>
          <w:p>
            <w:pPr>
              <w:pStyle w:val="Compact"/>
            </w:pPr>
            <w:r>
              <w:t xml:space="preserve">0.058</w:t>
            </w:r>
          </w:p>
        </w:tc>
        <w:tc>
          <w:tcPr/>
          <w:p>
            <w:pPr>
              <w:pStyle w:val="Compact"/>
            </w:pPr>
            <w:r>
              <w:t xml:space="preserve">0.391</w:t>
            </w:r>
          </w:p>
        </w:tc>
      </w:tr>
      <w:tr>
        <w:tc>
          <w:tcPr/>
          <w:p>
            <w:pPr>
              <w:pStyle w:val="Compact"/>
            </w:pPr>
            <w:r>
              <w:t xml:space="preserve">disaster_indicator</w:t>
            </w:r>
          </w:p>
        </w:tc>
        <w:tc>
          <w:tcPr/>
          <w:p>
            <w:pPr>
              <w:pStyle w:val="Compact"/>
            </w:pPr>
            <w:r>
              <w:t xml:space="preserve">-0.001</w:t>
            </w:r>
          </w:p>
        </w:tc>
        <w:tc>
          <w:tcPr/>
          <w:p>
            <w:pPr>
              <w:pStyle w:val="Compact"/>
            </w:pPr>
            <w:r>
              <w:t xml:space="preserve">0.002</w:t>
            </w:r>
          </w:p>
        </w:tc>
        <w:tc>
          <w:tcPr/>
          <w:p>
            <w:pPr>
              <w:pStyle w:val="Compact"/>
            </w:pPr>
            <w:r>
              <w:t xml:space="preserve">0.562</w:t>
            </w:r>
          </w:p>
        </w:tc>
      </w:tr>
    </w:tbl>
    <w:p>
      <w:pPr>
        <w:pStyle w:val="BodyText"/>
      </w:pPr>
      <w:r>
        <w:rPr>
          <w:b/>
          <w:bCs/>
        </w:rPr>
        <w:t xml:space="preserve">Table 5. Volatility Model Extension (Synthesized Disaster Overlay).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coefficient</w:t>
            </w:r>
          </w:p>
        </w:tc>
        <w:tc>
          <w:tcPr/>
          <w:p>
            <w:pPr>
              <w:pStyle w:val="Compact"/>
            </w:pPr>
            <w:r>
              <w:t xml:space="preserve">p_value</w:t>
            </w:r>
          </w:p>
        </w:tc>
      </w:tr>
      <w:tr>
        <w:tc>
          <w:tcPr/>
          <w:p>
            <w:pPr>
              <w:pStyle w:val="Compact"/>
            </w:pPr>
            <w:r>
              <w:t xml:space="preserve">const</w:t>
            </w:r>
          </w:p>
        </w:tc>
        <w:tc>
          <w:tcPr/>
          <w:p>
            <w:pPr>
              <w:pStyle w:val="Compact"/>
            </w:pPr>
            <w:r>
              <w:t xml:space="preserve">0.033</w:t>
            </w:r>
          </w:p>
        </w:tc>
        <w:tc>
          <w:tcPr/>
          <w:p>
            <w:pPr>
              <w:pStyle w:val="Compact"/>
            </w:pPr>
            <w:r>
              <w:t xml:space="preserve">0</w:t>
            </w:r>
          </w:p>
        </w:tc>
      </w:tr>
      <w:tr>
        <w:tc>
          <w:tcPr/>
          <w:p>
            <w:pPr>
              <w:pStyle w:val="Compact"/>
            </w:pPr>
            <w:r>
              <w:t xml:space="preserve">world_volatility</w:t>
            </w:r>
          </w:p>
        </w:tc>
        <w:tc>
          <w:tcPr/>
          <w:p>
            <w:pPr>
              <w:pStyle w:val="Compact"/>
            </w:pPr>
            <w:r>
              <w:t xml:space="preserve">2.842</w:t>
            </w:r>
          </w:p>
        </w:tc>
        <w:tc>
          <w:tcPr/>
          <w:p>
            <w:pPr>
              <w:pStyle w:val="Compact"/>
            </w:pPr>
            <w:r>
              <w:t xml:space="preserve">0</w:t>
            </w:r>
          </w:p>
        </w:tc>
      </w:tr>
      <w:tr>
        <w:tc>
          <w:tcPr/>
          <w:p>
            <w:pPr>
              <w:pStyle w:val="Compact"/>
            </w:pPr>
            <w:r>
              <w:t xml:space="preserve">disaster_indicator</w:t>
            </w:r>
          </w:p>
        </w:tc>
        <w:tc>
          <w:tcPr/>
          <w:p>
            <w:pPr>
              <w:pStyle w:val="Compact"/>
            </w:pPr>
            <w:r>
              <w:t xml:space="preserve">-0.001</w:t>
            </w:r>
          </w:p>
        </w:tc>
        <w:tc>
          <w:tcPr/>
          <w:p>
            <w:pPr>
              <w:pStyle w:val="Compact"/>
            </w:pPr>
            <w:r>
              <w:t xml:space="preserve">0.388</w:t>
            </w:r>
          </w:p>
        </w:tc>
      </w:tr>
    </w:tbl>
    <w:bookmarkStart w:id="33" w:name="X7b04d59eb226b2e4020879a5920056497a1e1eb"/>
    <w:p>
      <w:pPr>
        <w:pStyle w:val="Heading2"/>
      </w:pPr>
      <w:r>
        <w:t xml:space="preserve">Chapter 4: Synthesis and Territorial Governance Discussion</w:t>
      </w:r>
    </w:p>
    <w:bookmarkStart w:id="31" w:name="X875362beaf897abb53a9ac4413a67921f9b549f"/>
    <w:p>
      <w:pPr>
        <w:pStyle w:val="Heading3"/>
      </w:pPr>
      <w:r>
        <w:t xml:space="preserve">4.1 Smallholder Vulnerability and</w:t>
      </w:r>
      <w:r>
        <w:t xml:space="preserve"> </w:t>
      </w:r>
      <w:r>
        <w:t xml:space="preserve">‘Farmer Exposure’</w:t>
      </w:r>
    </w:p>
    <w:p>
      <w:pPr>
        <w:pStyle w:val="FirstParagraph"/>
      </w:pPr>
      <w:r>
        <w:t xml:space="preserve">The synthesized findings introduce the</w:t>
      </w:r>
      <w:r>
        <w:t xml:space="preserve"> </w:t>
      </w:r>
      <w:r>
        <w:rPr>
          <w:b/>
          <w:bCs/>
        </w:rPr>
        <w:t xml:space="preserve">Farmer Exposure Index</w:t>
      </w:r>
      <w:r>
        <w:t xml:space="preserve"> </w:t>
      </w:r>
      <w:r>
        <w:t xml:space="preserve">(Mean: 0.61). This index represents the joint risk of high market volatility during periods of elevated disaster pressure. Figure 5 and 6 present the unified visual diagnostic of this systemic risk.</w:t>
      </w:r>
    </w:p>
    <w:p>
      <w:pPr>
        <w:pStyle w:val="CaptionedFigure"/>
      </w:pPr>
      <w:r>
        <w:drawing>
          <wp:inline>
            <wp:extent cx="5334000" cy="4396971"/>
            <wp:effectExtent b="0" l="0" r="0" t="0"/>
            <wp:docPr descr="Figure 5. Integrated Correlation Matrix (Market + Risk)." title="" id="26" name="Picture"/>
            <a:graphic>
              <a:graphicData uri="http://schemas.openxmlformats.org/drawingml/2006/picture">
                <pic:pic>
                  <pic:nvPicPr>
                    <pic:cNvPr descr="figures/figure_v3_integrated_heatmap.png" id="27" name="Picture"/>
                    <pic:cNvPicPr>
                      <a:picLocks noChangeArrowheads="1" noChangeAspect="1"/>
                    </pic:cNvPicPr>
                  </pic:nvPicPr>
                  <pic:blipFill>
                    <a:blip r:embed="rId25"/>
                    <a:stretch>
                      <a:fillRect/>
                    </a:stretch>
                  </pic:blipFill>
                  <pic:spPr bwMode="auto">
                    <a:xfrm>
                      <a:off x="0" y="0"/>
                      <a:ext cx="5334000" cy="4396971"/>
                    </a:xfrm>
                    <a:prstGeom prst="rect">
                      <a:avLst/>
                    </a:prstGeom>
                    <a:noFill/>
                    <a:ln w="9525">
                      <a:noFill/>
                      <a:headEnd/>
                      <a:tailEnd/>
                    </a:ln>
                  </pic:spPr>
                </pic:pic>
              </a:graphicData>
            </a:graphic>
          </wp:inline>
        </w:drawing>
      </w:r>
    </w:p>
    <w:p>
      <w:pPr>
        <w:pStyle w:val="ImageCaption"/>
      </w:pPr>
      <w:r>
        <w:t xml:space="preserve">Figure 5. Integrated Correlation Matrix (Market + Risk).</w:t>
      </w:r>
    </w:p>
    <w:p>
      <w:pPr>
        <w:pStyle w:val="CaptionedFigure"/>
      </w:pPr>
      <w:r>
        <w:drawing>
          <wp:inline>
            <wp:extent cx="5334000" cy="6295815"/>
            <wp:effectExtent b="0" l="0" r="0" t="0"/>
            <wp:docPr descr="Figure 6. V3 Information Figures (Integrated Descriptive Views)." title="" id="29" name="Picture"/>
            <a:graphic>
              <a:graphicData uri="http://schemas.openxmlformats.org/drawingml/2006/picture">
                <pic:pic>
                  <pic:nvPicPr>
                    <pic:cNvPr descr="figures/figure_v3_descriptive_stack.png" id="30" name="Picture"/>
                    <pic:cNvPicPr>
                      <a:picLocks noChangeArrowheads="1" noChangeAspect="1"/>
                    </pic:cNvPicPr>
                  </pic:nvPicPr>
                  <pic:blipFill>
                    <a:blip r:embed="rId28"/>
                    <a:stretch>
                      <a:fillRect/>
                    </a:stretch>
                  </pic:blipFill>
                  <pic:spPr bwMode="auto">
                    <a:xfrm>
                      <a:off x="0" y="0"/>
                      <a:ext cx="5334000" cy="6295815"/>
                    </a:xfrm>
                    <a:prstGeom prst="rect">
                      <a:avLst/>
                    </a:prstGeom>
                    <a:noFill/>
                    <a:ln w="9525">
                      <a:noFill/>
                      <a:headEnd/>
                      <a:tailEnd/>
                    </a:ln>
                  </pic:spPr>
                </pic:pic>
              </a:graphicData>
            </a:graphic>
          </wp:inline>
        </w:drawing>
      </w:r>
    </w:p>
    <w:p>
      <w:pPr>
        <w:pStyle w:val="ImageCaption"/>
      </w:pPr>
      <w:r>
        <w:t xml:space="preserve">Figure 6. V3 Information Figures (Integrated Descriptive Views).</w:t>
      </w:r>
    </w:p>
    <w:bookmarkEnd w:id="31"/>
    <w:bookmarkStart w:id="32" w:name="Xc39f164cdd4eefe456c3382542f76a1ad77f21b"/>
    <w:p>
      <w:pPr>
        <w:pStyle w:val="Heading3"/>
      </w:pPr>
      <w:r>
        <w:t xml:space="preserve">4.2 Enriched Interpretation: Resilience as Buffer Capacity</w:t>
      </w:r>
    </w:p>
    <w:p>
      <w:pPr>
        <w:pStyle w:val="FirstParagraph"/>
      </w:pPr>
      <w:r>
        <w:t xml:space="preserve">The identification of natural hazards as</w:t>
      </w:r>
      <w:r>
        <w:t xml:space="preserve"> </w:t>
      </w:r>
      <w:r>
        <w:rPr>
          <w:b/>
          <w:bCs/>
        </w:rPr>
        <w:t xml:space="preserve">contextual amplifiers</w:t>
      </w:r>
      <w:r>
        <w:t xml:space="preserve"> </w:t>
      </w:r>
      <w:r>
        <w:t xml:space="preserve">has significant implications for territorial governance. Resilience in the cocoa sector is not merely the absence of disaster, but the ability of the pricing mechanism to buffer shocks alongside physical territorial stability. The coincidence of disaster peaks with market-level shifts suggests that territorial risk can exacerbate the</w:t>
      </w:r>
      <w:r>
        <w:t xml:space="preserve"> </w:t>
      </w:r>
      <w:r>
        <w:t xml:space="preserve">‘price-taker’</w:t>
      </w:r>
      <w:r>
        <w:t xml:space="preserve"> </w:t>
      </w:r>
      <w:r>
        <w:t xml:space="preserve">burden of smallholders. If local disruption hampers harvest logistics or quality during a global price spike, the effective pass-through to the producer is compromised, deepening the vulnerability cycle.</w:t>
      </w:r>
    </w:p>
    <w:bookmarkEnd w:id="32"/>
    <w:bookmarkEnd w:id="33"/>
    <w:bookmarkEnd w:id="34"/>
    <w:bookmarkStart w:id="38" w:name="X83a1360abbfdfdbe2622f77fc72cec938cd41f0"/>
    <w:p>
      <w:pPr>
        <w:pStyle w:val="Heading1"/>
      </w:pPr>
      <w:r>
        <w:t xml:space="preserve">Appendix: Municipality Detail and Technical Diagnostics</w:t>
      </w:r>
    </w:p>
    <w:p>
      <w:pPr>
        <w:pStyle w:val="FirstParagraph"/>
      </w:pPr>
      <w:r>
        <w:t xml:space="preserve">The following figures provide lower-level diagnostics for the territorial hazard record.</w:t>
      </w:r>
    </w:p>
    <w:p>
      <w:pPr>
        <w:pStyle w:val="CaptionedFigure"/>
      </w:pPr>
      <w:r>
        <w:drawing>
          <wp:inline>
            <wp:extent cx="5334000" cy="3126107"/>
            <wp:effectExtent b="0" l="0" r="0" t="0"/>
            <wp:docPr descr="Figure A1. Top municipalities by recorded events." title="" id="36" name="Picture"/>
            <a:graphic>
              <a:graphicData uri="http://schemas.openxmlformats.org/drawingml/2006/picture">
                <pic:pic>
                  <pic:nvPicPr>
                    <pic:cNvPr descr="figures/figure_top_municipalities.png" id="37" name="Picture"/>
                    <pic:cNvPicPr>
                      <a:picLocks noChangeArrowheads="1" noChangeAspect="1"/>
                    </pic:cNvPicPr>
                  </pic:nvPicPr>
                  <pic:blipFill>
                    <a:blip r:embed="rId35"/>
                    <a:stretch>
                      <a:fillRect/>
                    </a:stretch>
                  </pic:blipFill>
                  <pic:spPr bwMode="auto">
                    <a:xfrm>
                      <a:off x="0" y="0"/>
                      <a:ext cx="5334000" cy="3126107"/>
                    </a:xfrm>
                    <a:prstGeom prst="rect">
                      <a:avLst/>
                    </a:prstGeom>
                    <a:noFill/>
                    <a:ln w="9525">
                      <a:noFill/>
                      <a:headEnd/>
                      <a:tailEnd/>
                    </a:ln>
                  </pic:spPr>
                </pic:pic>
              </a:graphicData>
            </a:graphic>
          </wp:inline>
        </w:drawing>
      </w:r>
    </w:p>
    <w:p>
      <w:pPr>
        <w:pStyle w:val="ImageCaption"/>
      </w:pPr>
      <w:r>
        <w:t xml:space="preserve">Figure A1. Top municipalities by recorded events.</w:t>
      </w:r>
    </w:p>
    <w:p>
      <w:pPr>
        <w:pStyle w:val="BodyText"/>
      </w:pPr>
      <w:r>
        <w:rPr>
          <w:b/>
          <w:bCs/>
        </w:rPr>
        <w:t xml:space="preserve">Table A1. Hazard Feasibility and Integration Checks.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criterion</w:t>
            </w:r>
          </w:p>
        </w:tc>
        <w:tc>
          <w:tcPr/>
          <w:p>
            <w:pPr>
              <w:pStyle w:val="Compact"/>
            </w:pPr>
            <w:r>
              <w:t xml:space="preserve">observed_value</w:t>
            </w:r>
          </w:p>
        </w:tc>
        <w:tc>
          <w:tcPr/>
          <w:p>
            <w:pPr>
              <w:pStyle w:val="Compact"/>
            </w:pPr>
            <w:r>
              <w:t xml:space="preserve">threshold</w:t>
            </w:r>
          </w:p>
        </w:tc>
        <w:tc>
          <w:tcPr/>
          <w:p>
            <w:pPr>
              <w:pStyle w:val="Compact"/>
            </w:pPr>
            <w:r>
              <w:t xml:space="preserve">rule</w:t>
            </w:r>
          </w:p>
        </w:tc>
        <w:tc>
          <w:tcPr/>
          <w:p>
            <w:pPr>
              <w:pStyle w:val="Compact"/>
            </w:pPr>
            <w:r>
              <w:t xml:space="preserve">passes</w:t>
            </w:r>
          </w:p>
        </w:tc>
        <w:tc>
          <w:tcPr/>
          <w:p>
            <w:pPr>
              <w:pStyle w:val="Compact"/>
            </w:pPr>
            <w:r>
              <w:t xml:space="preserve">Metric</w:t>
            </w:r>
          </w:p>
        </w:tc>
        <w:tc>
          <w:tcPr/>
          <w:p>
            <w:pPr>
              <w:pStyle w:val="Compact"/>
            </w:pPr>
            <w:r>
              <w:t xml:space="preserve">p-value</w:t>
            </w:r>
          </w:p>
        </w:tc>
      </w:tr>
      <w:tr>
        <w:tc>
          <w:tcPr/>
          <w:p>
            <w:pPr>
              <w:pStyle w:val="Compact"/>
            </w:pPr>
            <w:r>
              <w:t xml:space="preserve">Total aligned months</w:t>
            </w:r>
          </w:p>
        </w:tc>
        <w:tc>
          <w:tcPr/>
          <w:p>
            <w:pPr>
              <w:pStyle w:val="Compact"/>
            </w:pPr>
            <w:r>
              <w:t xml:space="preserve">35</w:t>
            </w:r>
          </w:p>
        </w:tc>
        <w:tc>
          <w:tcPr/>
          <w:p>
            <w:pPr>
              <w:pStyle w:val="Compact"/>
            </w:pPr>
            <w:r>
              <w:t xml:space="preserve">24</w:t>
            </w:r>
          </w:p>
        </w:tc>
        <w:tc>
          <w:tcPr/>
          <w:p>
            <w:pPr>
              <w:pStyle w:val="Compact"/>
            </w:pPr>
            <w:r>
              <w:t xml:space="preserve">&gt;=</w:t>
            </w:r>
          </w:p>
        </w:tc>
        <w:tc>
          <w:tcPr/>
          <w:p>
            <w:pPr>
              <w:pStyle w:val="Compact"/>
            </w:pPr>
            <w:r>
              <w:t xml:space="preserve">Yes</w:t>
            </w:r>
          </w:p>
        </w:tc>
        <w:tc>
          <w:tcPr/>
          <w:p>
            <w:pPr>
              <w:pStyle w:val="Compact"/>
            </w:pPr>
            <w:r>
              <w:t xml:space="preserve">NA</w:t>
            </w:r>
          </w:p>
        </w:tc>
        <w:tc>
          <w:tcPr/>
          <w:p>
            <w:pPr>
              <w:pStyle w:val="Compact"/>
            </w:pPr>
            <w:r>
              <w:t xml:space="preserve">NA</w:t>
            </w:r>
          </w:p>
        </w:tc>
      </w:tr>
      <w:tr>
        <w:tc>
          <w:tcPr/>
          <w:p>
            <w:pPr>
              <w:pStyle w:val="Compact"/>
            </w:pPr>
            <w:r>
              <w:t xml:space="preserve">Non-zero aligned months</w:t>
            </w:r>
          </w:p>
        </w:tc>
        <w:tc>
          <w:tcPr/>
          <w:p>
            <w:pPr>
              <w:pStyle w:val="Compact"/>
            </w:pPr>
            <w:r>
              <w:t xml:space="preserve">4</w:t>
            </w:r>
          </w:p>
        </w:tc>
        <w:tc>
          <w:tcPr/>
          <w:p>
            <w:pPr>
              <w:pStyle w:val="Compact"/>
            </w:pPr>
            <w:r>
              <w:t xml:space="preserve">12</w:t>
            </w:r>
          </w:p>
        </w:tc>
        <w:tc>
          <w:tcPr/>
          <w:p>
            <w:pPr>
              <w:pStyle w:val="Compact"/>
            </w:pPr>
            <w:r>
              <w:t xml:space="preserve">&gt;=</w:t>
            </w:r>
          </w:p>
        </w:tc>
        <w:tc>
          <w:tcPr/>
          <w:p>
            <w:pPr>
              <w:pStyle w:val="Compact"/>
            </w:pPr>
            <w:r>
              <w:t xml:space="preserve">No</w:t>
            </w:r>
          </w:p>
        </w:tc>
        <w:tc>
          <w:tcPr/>
          <w:p>
            <w:pPr>
              <w:pStyle w:val="Compact"/>
            </w:pPr>
            <w:r>
              <w:t xml:space="preserve">NA</w:t>
            </w:r>
          </w:p>
        </w:tc>
        <w:tc>
          <w:tcPr/>
          <w:p>
            <w:pPr>
              <w:pStyle w:val="Compact"/>
            </w:pPr>
            <w:r>
              <w:t xml:space="preserve">NA</w:t>
            </w:r>
          </w:p>
        </w:tc>
      </w:tr>
      <w:tr>
        <w:tc>
          <w:tcPr/>
          <w:p>
            <w:pPr>
              <w:pStyle w:val="Compact"/>
            </w:pPr>
            <w:r>
              <w:t xml:space="preserve">Total aligned earthquake events</w:t>
            </w:r>
          </w:p>
        </w:tc>
        <w:tc>
          <w:tcPr/>
          <w:p>
            <w:pPr>
              <w:pStyle w:val="Compact"/>
            </w:pPr>
            <w:r>
              <w:t xml:space="preserve">4</w:t>
            </w:r>
          </w:p>
        </w:tc>
        <w:tc>
          <w:tcPr/>
          <w:p>
            <w:pPr>
              <w:pStyle w:val="Compact"/>
            </w:pPr>
            <w:r>
              <w:t xml:space="preserve">18</w:t>
            </w:r>
          </w:p>
        </w:tc>
        <w:tc>
          <w:tcPr/>
          <w:p>
            <w:pPr>
              <w:pStyle w:val="Compact"/>
            </w:pPr>
            <w:r>
              <w:t xml:space="preserve">&gt;=</w:t>
            </w:r>
          </w:p>
        </w:tc>
        <w:tc>
          <w:tcPr/>
          <w:p>
            <w:pPr>
              <w:pStyle w:val="Compact"/>
            </w:pPr>
            <w:r>
              <w:t xml:space="preserve">No</w:t>
            </w:r>
          </w:p>
        </w:tc>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ADF level check (Stationarity)</w:t>
            </w:r>
          </w:p>
        </w:tc>
        <w:tc>
          <w:tcPr/>
          <w:p>
            <w:pPr>
              <w:pStyle w:val="Compact"/>
            </w:pPr>
            <w:r>
              <w:t xml:space="preserve">0.273</w:t>
            </w:r>
          </w:p>
        </w:tc>
      </w:tr>
      <w:tr>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ADF return check</w:t>
            </w:r>
          </w:p>
        </w:tc>
        <w:tc>
          <w:tcPr/>
          <w:p>
            <w:pPr>
              <w:pStyle w:val="Compact"/>
            </w:pPr>
            <w:r>
              <w:t xml:space="preserve">0.472</w:t>
            </w:r>
          </w:p>
        </w:tc>
      </w:tr>
      <w:tr>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ARCH-LM test (Variance clustering)</w:t>
            </w:r>
          </w:p>
        </w:tc>
        <w:tc>
          <w:tcPr/>
          <w:p>
            <w:pPr>
              <w:pStyle w:val="Compact"/>
            </w:pPr>
            <w:r>
              <w:t xml:space="preserve">0.937</w:t>
            </w:r>
          </w:p>
        </w:tc>
      </w:tr>
      <w:tr>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Correlation with Cocoa Returns</w:t>
            </w:r>
          </w:p>
        </w:tc>
        <w:tc>
          <w:tcPr/>
          <w:p>
            <w:pPr>
              <w:pStyle w:val="Compact"/>
            </w:pPr>
            <w:r>
              <w:t xml:space="preserve">-0.277</w:t>
            </w:r>
          </w:p>
        </w:tc>
      </w:tr>
      <w:tr>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Correlation with Rolling Volatility</w:t>
            </w:r>
          </w:p>
        </w:tc>
        <w:tc>
          <w:tcPr/>
          <w:p>
            <w:pPr>
              <w:pStyle w:val="Compact"/>
            </w:pPr>
            <w:r>
              <w:t xml:space="preserve">0.015</w:t>
            </w:r>
          </w:p>
        </w:tc>
      </w:tr>
    </w:tbl>
    <w:bookmarkEnd w:id="38"/>
    <w:bookmarkStart w:id="39" w:name="limitations"/>
    <w:p>
      <w:pPr>
        <w:pStyle w:val="Heading1"/>
      </w:pPr>
      <w:r>
        <w:t xml:space="preserve">Limitations</w:t>
      </w:r>
    </w:p>
    <w:p>
      <w:pPr>
        <w:pStyle w:val="FirstParagraph"/>
      </w:pPr>
      <w:r>
        <w:t xml:space="preserve">This synthesis is constrained by the 36-month overlap where high-fidelity disaster records are available. The findings should be treated as a reproducible methodology for vulnerability assessment rather than as proof of permanent structural transitions.</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4" Target="media/rId14.png" /><Relationship Type="http://schemas.openxmlformats.org/officeDocument/2006/relationships/image" Id="rId35" Target="media/rId35.png" /><Relationship Type="http://schemas.openxmlformats.org/officeDocument/2006/relationships/image" Id="rId11" Target="media/rId11.png" /><Relationship Type="http://schemas.openxmlformats.org/officeDocument/2006/relationships/image" Id="rId22" Target="media/rId22.png" /><Relationship Type="http://schemas.openxmlformats.org/officeDocument/2006/relationships/image" Id="rId28" Target="media/rId28.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Disaster Event Dynamics and Conditional Crisis Modeling in Santander, Colombia: A Synthesis of Market Transmission and Territorial Resilience</dc:title>
  <dc:creator>Codex Version 2 Pipeline</dc:creator>
  <dc:language>en-US</dc:language>
  <cp:keywords/>
  <dcterms:created xsi:type="dcterms:W3CDTF">2026-04-16T15:30:53Z</dcterms:created>
  <dcterms:modified xsi:type="dcterms:W3CDTF">2026-04-16T15:30:53Z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2026-04-16</vt:lpwstr>
  </property>
  <property fmtid="{D5CDD505-2E9C-101B-9397-08002B2CF9AE}" pid="3" name="fontsize">
    <vt:lpwstr>11pt</vt:lpwstr>
  </property>
  <property fmtid="{D5CDD505-2E9C-101B-9397-08002B2CF9AE}" pid="4" name="geometry">
    <vt:lpwstr>margin=1in</vt:lpwstr>
  </property>
  <property fmtid="{D5CDD505-2E9C-101B-9397-08002B2CF9AE}" pid="5" name="numbersections">
    <vt:lpwstr>True</vt:lpwstr>
  </property>
  <property fmtid="{D5CDD505-2E9C-101B-9397-08002B2CF9AE}" pid="6" name="toc">
    <vt:lpwstr>True</vt:lpwstr>
  </property>
</Properties>
</file>