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532BC" w14:textId="77777777" w:rsidR="00395439" w:rsidRPr="00EE2AF4" w:rsidRDefault="00395439" w:rsidP="00F37965">
      <w:pPr>
        <w:pStyle w:val="Ttulo1"/>
        <w:rPr>
          <w:lang w:val="en-US"/>
        </w:rPr>
      </w:pPr>
      <w:r w:rsidRPr="00441643">
        <w:rPr>
          <w:lang w:val="en-US"/>
        </w:rPr>
        <w:t>Methodology</w:t>
      </w:r>
    </w:p>
    <w:p w14:paraId="27F881B6" w14:textId="57D39CF9" w:rsidR="26EBA45C" w:rsidRPr="00EE2AF4" w:rsidRDefault="26EBA45C" w:rsidP="7F503041">
      <w:pPr>
        <w:rPr>
          <w:lang w:val="en-US"/>
        </w:rPr>
      </w:pPr>
      <w:r w:rsidRPr="7F503041">
        <w:rPr>
          <w:lang w:val="en-US"/>
        </w:rPr>
        <w:t>The empirical strategy adopted for this study comprises three sequential stages: data acquisition and preprocessing, the construction of dimension-specific composite scores via information-theoretic weights (Entropy Method), and unsupervised classification using hierarchical clustering. This approach is implemented on a country-level panel for the EU-27, structured into three pillars of sustainability: Economic, Environmental, and Social.</w:t>
      </w:r>
    </w:p>
    <w:p w14:paraId="6494566C" w14:textId="0792441C" w:rsidR="26EBA45C" w:rsidRPr="00EE2AF4" w:rsidRDefault="26EBA45C" w:rsidP="00F37965">
      <w:pPr>
        <w:pStyle w:val="Ttulo2"/>
        <w:rPr>
          <w:lang w:val="en-US"/>
        </w:rPr>
      </w:pPr>
      <w:r w:rsidRPr="7F503041">
        <w:rPr>
          <w:lang w:val="en-US"/>
        </w:rPr>
        <w:t>Data Acquisition and Preprocessing</w:t>
      </w:r>
    </w:p>
    <w:p w14:paraId="34A6E99B" w14:textId="3745B8E0" w:rsidR="26EBA45C" w:rsidRPr="00EE2AF4" w:rsidRDefault="26EBA45C" w:rsidP="7F503041">
      <w:pPr>
        <w:spacing w:before="0" w:after="240"/>
        <w:rPr>
          <w:lang w:val="en-US"/>
        </w:rPr>
      </w:pPr>
      <w:r w:rsidRPr="7F503041">
        <w:rPr>
          <w:rFonts w:eastAsia="Times New Roman" w:cs="Times New Roman"/>
          <w:lang w:val="en-US"/>
        </w:rPr>
        <w:t xml:space="preserve">The primary data source for </w:t>
      </w:r>
      <w:r w:rsidR="00EE2AF4">
        <w:rPr>
          <w:rFonts w:eastAsia="Times New Roman" w:cs="Times New Roman"/>
          <w:lang w:val="en-US"/>
        </w:rPr>
        <w:t>constructing</w:t>
      </w:r>
      <w:r w:rsidRPr="7F503041">
        <w:rPr>
          <w:rFonts w:eastAsia="Times New Roman" w:cs="Times New Roman"/>
          <w:lang w:val="en-US"/>
        </w:rPr>
        <w:t xml:space="preserve"> the decision matrix is the public Farm Accountancy Data Network (FADN) database </w:t>
      </w:r>
      <w:hyperlink r:id="rId9">
        <w:r w:rsidRPr="660A79FB">
          <w:rPr>
            <w:rStyle w:val="Hipervnculo"/>
            <w:rFonts w:eastAsia="Times New Roman" w:cs="Times New Roman"/>
            <w:lang w:val="en-US"/>
          </w:rPr>
          <w:t>[Link]</w:t>
        </w:r>
      </w:hyperlink>
      <w:r w:rsidRPr="7F503041">
        <w:rPr>
          <w:rFonts w:eastAsia="Times New Roman" w:cs="Times New Roman"/>
          <w:lang w:val="en-US"/>
        </w:rPr>
        <w:t>.</w:t>
      </w:r>
      <w:r w:rsidR="110D96E9" w:rsidRPr="660A79FB">
        <w:rPr>
          <w:rFonts w:eastAsia="Times New Roman" w:cs="Times New Roman"/>
          <w:lang w:val="en-US"/>
        </w:rPr>
        <w:t xml:space="preserve"> </w:t>
      </w:r>
      <w:r w:rsidRPr="7F503041">
        <w:rPr>
          <w:rFonts w:eastAsia="Times New Roman" w:cs="Times New Roman"/>
          <w:lang w:val="en-US"/>
        </w:rPr>
        <w:t xml:space="preserve">To ensure comparability across Member States, a rigorous orientation and dual-normalization protocol </w:t>
      </w:r>
      <w:r w:rsidR="00EE2AF4">
        <w:rPr>
          <w:rFonts w:eastAsia="Times New Roman" w:cs="Times New Roman"/>
          <w:lang w:val="en-US"/>
        </w:rPr>
        <w:t>were</w:t>
      </w:r>
      <w:r w:rsidRPr="7F503041">
        <w:rPr>
          <w:rFonts w:eastAsia="Times New Roman" w:cs="Times New Roman"/>
          <w:lang w:val="en-US"/>
        </w:rPr>
        <w:t xml:space="preserve"> applied. First, the decision matrix </w:t>
      </w:r>
      <m:oMath>
        <m:r>
          <w:rPr>
            <w:rFonts w:ascii="Cambria Math" w:eastAsia="Times New Roman" w:hAnsi="Cambria Math" w:cs="Times New Roman"/>
            <w:lang w:val="en-US"/>
          </w:rPr>
          <m:t>X</m:t>
        </m:r>
      </m:oMath>
      <w:r w:rsidRPr="7F503041">
        <w:rPr>
          <w:rFonts w:eastAsia="Times New Roman" w:cs="Times New Roman"/>
          <w:lang w:val="en-US"/>
        </w:rPr>
        <w:t xml:space="preserve"> was oriented </w:t>
      </w:r>
      <w:r w:rsidR="00EE2AF4">
        <w:rPr>
          <w:rFonts w:eastAsia="Times New Roman" w:cs="Times New Roman"/>
          <w:lang w:val="en-US"/>
        </w:rPr>
        <w:t>so that higher values indicate</w:t>
      </w:r>
      <w:r w:rsidRPr="7F503041">
        <w:rPr>
          <w:rFonts w:eastAsia="Times New Roman" w:cs="Times New Roman"/>
          <w:lang w:val="en-US"/>
        </w:rPr>
        <w:t xml:space="preserve"> better performance. "Benefit" indicators remained unchanged, while "cost" indicators were multiplied by </w:t>
      </w:r>
      <m:oMath>
        <m:r>
          <w:rPr>
            <w:rFonts w:ascii="Cambria Math" w:eastAsia="Times New Roman" w:hAnsi="Cambria Math" w:cs="Times New Roman"/>
            <w:lang w:val="en-US"/>
          </w:rPr>
          <m:t>-1</m:t>
        </m:r>
      </m:oMath>
      <w:r w:rsidRPr="7F503041">
        <w:rPr>
          <w:rFonts w:eastAsia="Times New Roman" w:cs="Times New Roman"/>
          <w:lang w:val="en-US"/>
        </w:rPr>
        <w:t xml:space="preserve">. Following orientation, the data </w:t>
      </w:r>
      <w:proofErr w:type="gramStart"/>
      <w:r w:rsidR="00EE2AF4">
        <w:rPr>
          <w:rFonts w:eastAsia="Times New Roman" w:cs="Times New Roman"/>
          <w:lang w:val="en-US"/>
        </w:rPr>
        <w:t>were</w:t>
      </w:r>
      <w:proofErr w:type="gramEnd"/>
      <w:r w:rsidRPr="7F503041">
        <w:rPr>
          <w:rFonts w:eastAsia="Times New Roman" w:cs="Times New Roman"/>
          <w:lang w:val="en-US"/>
        </w:rPr>
        <w:t xml:space="preserve"> processed for two distinct algebraic purposes:</w:t>
      </w:r>
    </w:p>
    <w:p w14:paraId="1B947E9C" w14:textId="1E3E23EF" w:rsidR="26EBA45C" w:rsidRDefault="26EBA45C" w:rsidP="00F37965">
      <w:pPr>
        <w:pStyle w:val="Prrafodelista"/>
        <w:numPr>
          <w:ilvl w:val="0"/>
          <w:numId w:val="3"/>
        </w:numPr>
        <w:spacing w:before="240" w:after="240"/>
        <w:ind w:left="426"/>
        <w:rPr>
          <w:rFonts w:eastAsia="Times New Roman" w:cs="Times New Roman"/>
          <w:lang w:val="en-US"/>
        </w:rPr>
      </w:pPr>
      <w:r w:rsidRPr="7F503041">
        <w:rPr>
          <w:rFonts w:eastAsia="Times New Roman" w:cs="Times New Roman"/>
          <w:b/>
          <w:bCs/>
          <w:lang w:val="en-US"/>
        </w:rPr>
        <w:t>Probability Shares (</w:t>
      </w:r>
      <m:oMath>
        <m:sSub>
          <m:sSubPr>
            <m:ctrlPr>
              <w:rPr>
                <w:rFonts w:ascii="Cambria Math" w:eastAsia="Times New Roman" w:hAnsi="Cambria Math" w:cs="Times New Roman"/>
                <w:b/>
                <w:bCs/>
                <w:i/>
                <w:lang w:val="en-US"/>
              </w:rPr>
            </m:ctrlPr>
          </m:sSubPr>
          <m:e>
            <m:r>
              <m:rPr>
                <m:sty m:val="bi"/>
              </m:rPr>
              <w:rPr>
                <w:rFonts w:ascii="Cambria Math" w:eastAsia="Times New Roman" w:hAnsi="Cambria Math" w:cs="Times New Roman"/>
                <w:lang w:val="en-US"/>
              </w:rPr>
              <m:t>P</m:t>
            </m:r>
          </m:e>
          <m:sub>
            <m:r>
              <m:rPr>
                <m:sty m:val="bi"/>
              </m:rPr>
              <w:rPr>
                <w:rFonts w:ascii="Cambria Math" w:eastAsia="Times New Roman" w:hAnsi="Cambria Math" w:cs="Times New Roman"/>
                <w:lang w:val="en-US"/>
              </w:rPr>
              <m:t>ij</m:t>
            </m:r>
          </m:sub>
        </m:sSub>
      </m:oMath>
      <w:r w:rsidRPr="7F503041">
        <w:rPr>
          <w:rFonts w:eastAsia="Times New Roman" w:cs="Times New Roman"/>
          <w:b/>
          <w:bCs/>
          <w:lang w:val="en-US"/>
        </w:rPr>
        <w:t>):</w:t>
      </w:r>
      <w:r w:rsidRPr="7F503041">
        <w:rPr>
          <w:rFonts w:eastAsia="Times New Roman" w:cs="Times New Roman"/>
          <w:lang w:val="en-US"/>
        </w:rPr>
        <w:t xml:space="preserve"> To derive the information content required for weighting and clustering.</w:t>
      </w:r>
    </w:p>
    <w:p w14:paraId="75245EFF" w14:textId="6E4DFF43" w:rsidR="26EBA45C" w:rsidRDefault="26EBA45C" w:rsidP="00F37965">
      <w:pPr>
        <w:pStyle w:val="Prrafodelista"/>
        <w:numPr>
          <w:ilvl w:val="0"/>
          <w:numId w:val="3"/>
        </w:numPr>
        <w:spacing w:before="240" w:after="240"/>
        <w:ind w:left="426"/>
        <w:rPr>
          <w:rFonts w:eastAsia="Times New Roman" w:cs="Times New Roman"/>
          <w:lang w:val="en-US"/>
        </w:rPr>
      </w:pPr>
      <w:r w:rsidRPr="7F503041">
        <w:rPr>
          <w:rFonts w:eastAsia="Times New Roman" w:cs="Times New Roman"/>
          <w:b/>
          <w:bCs/>
          <w:lang w:val="en-US"/>
        </w:rPr>
        <w:t>Min-Max Scaling:</w:t>
      </w:r>
      <w:r w:rsidRPr="7F503041">
        <w:rPr>
          <w:rFonts w:eastAsia="Times New Roman" w:cs="Times New Roman"/>
          <w:lang w:val="en-US"/>
        </w:rPr>
        <w:t xml:space="preserve"> To form interpretable composites mapped to the range </w:t>
      </w:r>
      <m:oMath>
        <m:r>
          <w:rPr>
            <w:rFonts w:ascii="Cambria Math" w:eastAsia="Times New Roman" w:hAnsi="Cambria Math" w:cs="Times New Roman"/>
            <w:lang w:val="en-US"/>
          </w:rPr>
          <m:t>[0,1]</m:t>
        </m:r>
      </m:oMath>
      <w:r w:rsidRPr="7F503041">
        <w:rPr>
          <w:rFonts w:eastAsia="Times New Roman" w:cs="Times New Roman"/>
          <w:lang w:val="en-US"/>
        </w:rPr>
        <w:t>.</w:t>
      </w:r>
    </w:p>
    <w:p w14:paraId="69E2C6FA" w14:textId="59304BE7" w:rsidR="26EBA45C" w:rsidRPr="00EE2AF4" w:rsidRDefault="26EBA45C" w:rsidP="00F37965">
      <w:pPr>
        <w:pStyle w:val="Ttulo2"/>
        <w:rPr>
          <w:lang w:val="en-US"/>
        </w:rPr>
      </w:pPr>
      <w:r w:rsidRPr="7F503041">
        <w:rPr>
          <w:lang w:val="en-US"/>
        </w:rPr>
        <w:t>Entropy Weight Calculation</w:t>
      </w:r>
    </w:p>
    <w:p w14:paraId="3436FBCA" w14:textId="0AA7859F" w:rsidR="26EBA45C" w:rsidRPr="00EE2AF4" w:rsidRDefault="26EBA45C" w:rsidP="7F503041">
      <w:pPr>
        <w:spacing w:before="0" w:after="240"/>
        <w:rPr>
          <w:lang w:val="en-US"/>
        </w:rPr>
      </w:pPr>
      <w:r w:rsidRPr="7F503041">
        <w:rPr>
          <w:rFonts w:eastAsia="Times New Roman" w:cs="Times New Roman"/>
          <w:lang w:val="en-US"/>
        </w:rPr>
        <w:t xml:space="preserve">To avoid the subjectivity inherent in expert scoring, this study utilizes the Entropy Method to assign objective weights to </w:t>
      </w:r>
      <w:proofErr w:type="gramStart"/>
      <w:r w:rsidRPr="7F503041">
        <w:rPr>
          <w:rFonts w:eastAsia="Times New Roman" w:cs="Times New Roman"/>
          <w:lang w:val="en-US"/>
        </w:rPr>
        <w:t>the sustainability</w:t>
      </w:r>
      <w:proofErr w:type="gramEnd"/>
      <w:r w:rsidRPr="7F503041">
        <w:rPr>
          <w:rFonts w:eastAsia="Times New Roman" w:cs="Times New Roman"/>
          <w:lang w:val="en-US"/>
        </w:rPr>
        <w:t xml:space="preserve"> indicators. Following the information-theoretic scheme </w:t>
      </w:r>
      <w:sdt>
        <w:sdtPr>
          <w:rPr>
            <w:rFonts w:eastAsiaTheme="minorEastAsia" w:cs="Times New Roman"/>
            <w:iCs/>
            <w:color w:val="000000"/>
            <w:lang w:val="en-US"/>
          </w:rPr>
          <w:tag w:val="MENDELEY_CITATION_v3_eyJjaXRhdGlvbklEIjoiTUVOREVMRVlfQ0lUQVRJT05fMzkwODBmZTUtOTNlNS00MDljLTk2ZDMtOWViZjAzNzc3ZTFiIiwicHJvcGVydGllcyI6eyJub3RlSW5kZXgiOjB9LCJpc0VkaXRlZCI6ZmFsc2UsIm1hbnVhbE92ZXJyaWRlIjp7ImlzTWFudWFsbHlPdmVycmlkZGVuIjpmYWxzZSwiY2l0ZXByb2NUZXh0IjoiKFNoYW5ub24sIDE5NDgpIiwibWFudWFsT3ZlcnJpZGVUZXh0IjoiIn0sImNpdGF0aW9uSXRlbXMiOlt7ImlkIjoiMjEyODJkOTItNzhiNy0zOTk3LWEzYTUtN2Q3MGU1MTA3OTg4IiwiaXRlbURhdGEiOnsidHlwZSI6ImFydGljbGUtam91cm5hbCIsImlkIjoiMjEyODJkOTItNzhiNy0zOTk3LWEzYTUtN2Q3MGU1MTA3OTg4IiwidGl0bGUiOiJBIE1hdGhlbWF0aWNhbCBUaGVvcnkgb2YgQ29tbXVuaWNhdGlvbiIsImF1dGhvciI6W3siZmFtaWx5IjoiU2hhbm5vbiIsImdpdmVuIjoiQy4gRS4iLCJwYXJzZS1uYW1lcyI6ZmFsc2UsImRyb3BwaW5nLXBhcnRpY2xlIjoiIiwibm9uLWRyb3BwaW5nLXBhcnRpY2xlIjoiIn1dLCJjb250YWluZXItdGl0bGUiOiJCZWxsIFN5c3RlbSBUZWNobmljYWwgSm91cm5hbCIsIkRPSSI6IjEwLjEwMDIvai4xNTM4LTczMDUuMTk0OC50YjAxMzM4LngiLCJJU1NOIjoiMDAwNTg1ODAiLCJpc3N1ZWQiOnsiZGF0ZS1wYXJ0cyI6W1sxOTQ4LDddXX0sInBhZ2UiOiIzNzktNDIzIiwiaXNzdWUiOiIzIiwidm9sdW1lIjoiMjciLCJjb250YWluZXItdGl0bGUtc2hvcnQiOiIifSwiaXNUZW1wb3JhcnkiOmZhbHNlfV19"/>
          <w:id w:val="-1279784373"/>
          <w:placeholder>
            <w:docPart w:val="808529FA48934620ACA91F4D5D7022D1"/>
          </w:placeholder>
        </w:sdtPr>
        <w:sdtContent>
          <w:r w:rsidR="00537574" w:rsidRPr="00537574">
            <w:rPr>
              <w:rFonts w:eastAsiaTheme="minorEastAsia" w:cs="Times New Roman"/>
              <w:iCs/>
              <w:color w:val="000000"/>
              <w:lang w:val="en-US"/>
            </w:rPr>
            <w:t>(Shannon, 1948)</w:t>
          </w:r>
        </w:sdtContent>
      </w:sdt>
      <w:r w:rsidRPr="7F503041">
        <w:rPr>
          <w:rFonts w:eastAsia="Times New Roman" w:cs="Times New Roman"/>
          <w:lang w:val="en-US"/>
        </w:rPr>
        <w:t>, the calculation proceeds in the following steps:</w:t>
      </w:r>
    </w:p>
    <w:p w14:paraId="6A875B3D" w14:textId="04EE7E17" w:rsidR="26EBA45C" w:rsidRPr="00EE2AF4" w:rsidRDefault="26EBA45C" w:rsidP="7F503041">
      <w:pPr>
        <w:spacing w:before="0" w:after="240"/>
        <w:rPr>
          <w:lang w:val="en-US"/>
        </w:rPr>
      </w:pPr>
      <w:r w:rsidRPr="7F503041">
        <w:rPr>
          <w:rFonts w:eastAsia="Times New Roman" w:cs="Times New Roman"/>
          <w:lang w:val="en-US"/>
        </w:rPr>
        <w:t xml:space="preserve">Step 1: Normalization </w:t>
      </w:r>
      <w:proofErr w:type="gramStart"/>
      <w:r w:rsidRPr="7F503041">
        <w:rPr>
          <w:rFonts w:eastAsia="Times New Roman" w:cs="Times New Roman"/>
          <w:lang w:val="en-US"/>
        </w:rPr>
        <w:t>for</w:t>
      </w:r>
      <w:proofErr w:type="gramEnd"/>
      <w:r w:rsidRPr="7F503041">
        <w:rPr>
          <w:rFonts w:eastAsia="Times New Roman" w:cs="Times New Roman"/>
          <w:lang w:val="en-US"/>
        </w:rPr>
        <w:t xml:space="preserve"> Entropy</w:t>
      </w:r>
    </w:p>
    <w:p w14:paraId="76970ADA" w14:textId="6B1861AB" w:rsidR="26EBA45C" w:rsidRPr="00EE2AF4" w:rsidRDefault="26EBA45C" w:rsidP="7F503041">
      <w:pPr>
        <w:spacing w:before="0" w:after="240"/>
        <w:rPr>
          <w:lang w:val="en-US"/>
        </w:rPr>
      </w:pPr>
      <w:r w:rsidRPr="7F503041">
        <w:rPr>
          <w:rFonts w:eastAsia="Times New Roman" w:cs="Times New Roman"/>
          <w:lang w:val="en-US"/>
        </w:rPr>
        <w:t>The oriented matrix is transformed into column-wise probability shares (</w:t>
      </w:r>
      <m:oMath>
        <m:sSub>
          <m:sSubPr>
            <m:ctrlPr>
              <w:rPr>
                <w:rFonts w:ascii="Cambria Math" w:eastAsia="Times New Roman" w:hAnsi="Cambria Math" w:cs="Times New Roman"/>
                <w:i/>
                <w:lang w:val="en-US"/>
              </w:rPr>
            </m:ctrlPr>
          </m:sSubPr>
          <m:e>
            <m:r>
              <w:rPr>
                <w:rFonts w:ascii="Cambria Math" w:eastAsia="Times New Roman" w:hAnsi="Cambria Math" w:cs="Times New Roman"/>
                <w:lang w:val="en-US"/>
              </w:rPr>
              <m:t>P</m:t>
            </m:r>
          </m:e>
          <m:sub>
            <m:r>
              <w:rPr>
                <w:rFonts w:ascii="Cambria Math" w:eastAsia="Times New Roman" w:hAnsi="Cambria Math" w:cs="Times New Roman"/>
                <w:lang w:val="en-US"/>
              </w:rPr>
              <m:t>ij</m:t>
            </m:r>
          </m:sub>
        </m:sSub>
      </m:oMath>
      <w:r w:rsidRPr="7F503041">
        <w:rPr>
          <w:rFonts w:eastAsia="Times New Roman" w:cs="Times New Roman"/>
          <w:lang w:val="en-US"/>
        </w:rPr>
        <w:t xml:space="preserve">), which sum to </w:t>
      </w:r>
      <w:r w:rsidR="00F37965">
        <w:rPr>
          <w:rFonts w:eastAsia="Times New Roman" w:cs="Times New Roman"/>
          <w:lang w:val="en-US"/>
        </w:rPr>
        <w:t>1 within each indicator</w:t>
      </w:r>
      <w:r w:rsidRPr="7F503041">
        <w:rPr>
          <w:rFonts w:eastAsia="Times New Roman" w:cs="Times New Roman"/>
          <w:lang w:val="en-US"/>
        </w:rPr>
        <w:t>. This allows for a calculation sensitive to cross-country dispersion:</w:t>
      </w:r>
    </w:p>
    <w:p w14:paraId="2ECFDFE7" w14:textId="35BBB4A1" w:rsidR="26EBA45C" w:rsidRPr="00EE2AF4" w:rsidRDefault="00000000" w:rsidP="7F503041">
      <w:pPr>
        <w:spacing w:before="0" w:after="0"/>
        <w:rPr>
          <w:lang w:val="en-US"/>
        </w:rPr>
      </w:pPr>
      <m:oMathPara>
        <m:oMath>
          <m:sSub>
            <m:sSubPr>
              <m:ctrlPr>
                <w:rPr>
                  <w:rFonts w:ascii="Cambria Math" w:eastAsia="Times New Roman" w:hAnsi="Cambria Math" w:cs="Times New Roman"/>
                  <w:i/>
                  <w:lang w:val="en-US"/>
                </w:rPr>
              </m:ctrlPr>
            </m:sSubPr>
            <m:e>
              <m:r>
                <w:rPr>
                  <w:rFonts w:ascii="Cambria Math" w:eastAsia="Times New Roman" w:hAnsi="Cambria Math" w:cs="Times New Roman"/>
                  <w:lang w:val="en-US"/>
                </w:rPr>
                <m:t>P</m:t>
              </m:r>
            </m:e>
            <m:sub>
              <m:r>
                <w:rPr>
                  <w:rFonts w:ascii="Cambria Math" w:eastAsia="Times New Roman" w:hAnsi="Cambria Math" w:cs="Times New Roman"/>
                  <w:lang w:val="en-US"/>
                </w:rPr>
                <m:t>ij</m:t>
              </m:r>
            </m:sub>
          </m:sSub>
          <m:r>
            <w:rPr>
              <w:rFonts w:ascii="Cambria Math" w:eastAsia="Times New Roman" w:hAnsi="Cambria Math" w:cs="Times New Roman"/>
              <w:lang w:val="en-US"/>
            </w:rPr>
            <m:t>=</m:t>
          </m:r>
          <m:f>
            <m:fPr>
              <m:ctrlPr>
                <w:rPr>
                  <w:rFonts w:ascii="Cambria Math" w:eastAsia="Times New Roman" w:hAnsi="Cambria Math" w:cs="Times New Roman"/>
                  <w:lang w:val="en-US"/>
                </w:rPr>
              </m:ctrlPr>
            </m:fPr>
            <m:num>
              <m:sSub>
                <m:sSubPr>
                  <m:ctrlPr>
                    <w:rPr>
                      <w:rFonts w:ascii="Cambria Math" w:eastAsia="Times New Roman" w:hAnsi="Cambria Math" w:cs="Times New Roman"/>
                      <w:i/>
                      <w:lang w:val="en-US"/>
                    </w:rPr>
                  </m:ctrlPr>
                </m:sSubPr>
                <m:e>
                  <m:r>
                    <w:rPr>
                      <w:rFonts w:ascii="Cambria Math" w:eastAsia="Times New Roman" w:hAnsi="Cambria Math" w:cs="Times New Roman"/>
                      <w:lang w:val="en-US"/>
                    </w:rPr>
                    <m:t>x</m:t>
                  </m:r>
                </m:e>
                <m:sub>
                  <m:r>
                    <w:rPr>
                      <w:rFonts w:ascii="Cambria Math" w:eastAsia="Times New Roman" w:hAnsi="Cambria Math" w:cs="Times New Roman"/>
                      <w:lang w:val="en-US"/>
                    </w:rPr>
                    <m:t>ij</m:t>
                  </m:r>
                </m:sub>
              </m:sSub>
              <m:ctrlPr>
                <w:rPr>
                  <w:rFonts w:ascii="Cambria Math" w:eastAsia="Times New Roman" w:hAnsi="Cambria Math" w:cs="Times New Roman"/>
                  <w:i/>
                  <w:lang w:val="en-US"/>
                </w:rPr>
              </m:ctrlPr>
            </m:num>
            <m:den>
              <m:nary>
                <m:naryPr>
                  <m:chr m:val="∑"/>
                  <m:ctrlPr>
                    <w:rPr>
                      <w:rFonts w:ascii="Cambria Math" w:eastAsia="Times New Roman" w:hAnsi="Cambria Math" w:cs="Times New Roman"/>
                      <w:lang w:val="en-US"/>
                    </w:rPr>
                  </m:ctrlPr>
                </m:naryPr>
                <m:sub>
                  <m:r>
                    <w:rPr>
                      <w:rFonts w:ascii="Cambria Math" w:eastAsia="Times New Roman" w:hAnsi="Cambria Math" w:cs="Times New Roman"/>
                      <w:lang w:val="en-US"/>
                    </w:rPr>
                    <m:t>i</m:t>
                  </m:r>
                  <m:r>
                    <w:rPr>
                      <w:rFonts w:ascii="Cambria Math" w:eastAsia="Times New Roman" w:hAnsi="Cambria Math" w:cs="Times New Roman"/>
                      <w:lang w:val="en-US"/>
                    </w:rPr>
                    <m:t>=1</m:t>
                  </m:r>
                  <m:ctrlPr>
                    <w:rPr>
                      <w:rFonts w:ascii="Cambria Math" w:eastAsia="Times New Roman" w:hAnsi="Cambria Math" w:cs="Times New Roman"/>
                      <w:i/>
                      <w:lang w:val="en-US"/>
                    </w:rPr>
                  </m:ctrlPr>
                </m:sub>
                <m:sup>
                  <m:r>
                    <w:rPr>
                      <w:rFonts w:ascii="Cambria Math" w:eastAsia="Times New Roman" w:hAnsi="Cambria Math" w:cs="Times New Roman"/>
                      <w:lang w:val="en-US"/>
                    </w:rPr>
                    <m:t>n</m:t>
                  </m:r>
                  <m:ctrlPr>
                    <w:rPr>
                      <w:rFonts w:ascii="Cambria Math" w:eastAsia="Times New Roman" w:hAnsi="Cambria Math" w:cs="Times New Roman"/>
                      <w:i/>
                      <w:lang w:val="en-US"/>
                    </w:rPr>
                  </m:ctrlPr>
                </m:sup>
                <m:e>
                  <m:sSub>
                    <m:sSubPr>
                      <m:ctrlPr>
                        <w:rPr>
                          <w:rFonts w:ascii="Cambria Math" w:eastAsia="Times New Roman" w:hAnsi="Cambria Math" w:cs="Times New Roman"/>
                          <w:i/>
                          <w:lang w:val="en-US"/>
                        </w:rPr>
                      </m:ctrlPr>
                    </m:sSubPr>
                    <m:e>
                      <m:r>
                        <w:rPr>
                          <w:rFonts w:ascii="Cambria Math" w:eastAsia="Times New Roman" w:hAnsi="Cambria Math" w:cs="Times New Roman"/>
                          <w:lang w:val="en-US"/>
                        </w:rPr>
                        <m:t>x</m:t>
                      </m:r>
                    </m:e>
                    <m:sub>
                      <m:r>
                        <w:rPr>
                          <w:rFonts w:ascii="Cambria Math" w:eastAsia="Times New Roman" w:hAnsi="Cambria Math" w:cs="Times New Roman"/>
                          <w:lang w:val="en-US"/>
                        </w:rPr>
                        <m:t>ij</m:t>
                      </m:r>
                    </m:sub>
                  </m:sSub>
                  <m:ctrlPr>
                    <w:rPr>
                      <w:rFonts w:ascii="Cambria Math" w:eastAsia="Times New Roman" w:hAnsi="Cambria Math" w:cs="Times New Roman"/>
                      <w:i/>
                      <w:lang w:val="en-US"/>
                    </w:rPr>
                  </m:ctrlPr>
                </m:e>
              </m:nary>
              <m:ctrlPr>
                <w:rPr>
                  <w:rFonts w:ascii="Cambria Math" w:eastAsia="Times New Roman" w:hAnsi="Cambria Math" w:cs="Times New Roman"/>
                  <w:i/>
                  <w:lang w:val="en-US"/>
                </w:rPr>
              </m:ctrlPr>
            </m:den>
          </m:f>
          <m:r>
            <m:rPr>
              <m:nor/>
            </m:rPr>
            <w:rPr>
              <w:rFonts w:ascii="Cambria Math" w:eastAsia="Times New Roman" w:hAnsi="Cambria Math" w:cs="Times New Roman"/>
              <w:lang w:val="en-US"/>
            </w:rPr>
            <m:t>(Eq. 1)</m:t>
          </m:r>
        </m:oMath>
      </m:oMathPara>
    </w:p>
    <w:p w14:paraId="647C97A4" w14:textId="2023962D" w:rsidR="26EBA45C" w:rsidRPr="00EE2AF4" w:rsidRDefault="26EBA45C" w:rsidP="7F503041">
      <w:pPr>
        <w:spacing w:before="0" w:after="240"/>
        <w:rPr>
          <w:lang w:val="en-US"/>
        </w:rPr>
      </w:pPr>
      <w:r w:rsidRPr="7F503041">
        <w:rPr>
          <w:rFonts w:eastAsia="Times New Roman" w:cs="Times New Roman"/>
          <w:lang w:val="en-US"/>
        </w:rPr>
        <w:t>Step 2: Entropy Computation</w:t>
      </w:r>
    </w:p>
    <w:p w14:paraId="498E3B8F" w14:textId="29DEF54C" w:rsidR="26EBA45C" w:rsidRPr="00EE2AF4" w:rsidRDefault="26EBA45C" w:rsidP="7F503041">
      <w:pPr>
        <w:spacing w:before="0" w:after="240"/>
        <w:rPr>
          <w:lang w:val="en-US"/>
        </w:rPr>
      </w:pPr>
      <w:r w:rsidRPr="7F503041">
        <w:rPr>
          <w:rFonts w:eastAsia="Times New Roman" w:cs="Times New Roman"/>
          <w:lang w:val="en-US"/>
        </w:rPr>
        <w:t xml:space="preserve">For each indicator </w:t>
      </w:r>
      <m:oMath>
        <m:r>
          <w:rPr>
            <w:rFonts w:ascii="Cambria Math" w:eastAsia="Times New Roman" w:hAnsi="Cambria Math" w:cs="Times New Roman"/>
            <w:lang w:val="en-US"/>
          </w:rPr>
          <m:t>j</m:t>
        </m:r>
      </m:oMath>
      <w:r w:rsidRPr="7F503041">
        <w:rPr>
          <w:rFonts w:eastAsia="Times New Roman" w:cs="Times New Roman"/>
          <w:lang w:val="en-US"/>
        </w:rPr>
        <w:t xml:space="preserve"> across </w:t>
      </w:r>
      <m:oMath>
        <m:r>
          <w:rPr>
            <w:rFonts w:ascii="Cambria Math" w:eastAsia="Times New Roman" w:hAnsi="Cambria Math" w:cs="Times New Roman"/>
            <w:lang w:val="en-US"/>
          </w:rPr>
          <m:t>n</m:t>
        </m:r>
      </m:oMath>
      <w:r w:rsidRPr="7F503041">
        <w:rPr>
          <w:rFonts w:eastAsia="Times New Roman" w:cs="Times New Roman"/>
          <w:lang w:val="en-US"/>
        </w:rPr>
        <w:t xml:space="preserve"> countries, the entropy value (</w:t>
      </w:r>
      <m:oMath>
        <m:sSub>
          <m:sSubPr>
            <m:ctrlPr>
              <w:rPr>
                <w:rFonts w:ascii="Cambria Math" w:eastAsia="Times New Roman" w:hAnsi="Cambria Math" w:cs="Times New Roman"/>
                <w:i/>
                <w:lang w:val="en-US"/>
              </w:rPr>
            </m:ctrlPr>
          </m:sSubPr>
          <m:e>
            <m:r>
              <w:rPr>
                <w:rFonts w:ascii="Cambria Math" w:eastAsia="Times New Roman" w:hAnsi="Cambria Math" w:cs="Times New Roman"/>
                <w:lang w:val="en-US"/>
              </w:rPr>
              <m:t>e</m:t>
            </m:r>
          </m:e>
          <m:sub>
            <m:r>
              <w:rPr>
                <w:rFonts w:ascii="Cambria Math" w:eastAsia="Times New Roman" w:hAnsi="Cambria Math" w:cs="Times New Roman"/>
                <w:lang w:val="en-US"/>
              </w:rPr>
              <m:t>j</m:t>
            </m:r>
          </m:sub>
        </m:sSub>
      </m:oMath>
      <w:r w:rsidRPr="7F503041">
        <w:rPr>
          <w:rFonts w:eastAsia="Times New Roman" w:cs="Times New Roman"/>
          <w:lang w:val="en-US"/>
        </w:rPr>
        <w:t>) is calculated to measure the uncertainty or randomness of the data:</w:t>
      </w:r>
    </w:p>
    <w:p w14:paraId="4265895F" w14:textId="69D1C8C5" w:rsidR="26EBA45C" w:rsidRPr="00EE2AF4" w:rsidRDefault="00000000" w:rsidP="7F503041">
      <w:pPr>
        <w:spacing w:before="0" w:after="0"/>
        <w:rPr>
          <w:lang w:val="en-US"/>
        </w:rPr>
      </w:pPr>
      <m:oMathPara>
        <m:oMath>
          <m:sSub>
            <m:sSubPr>
              <m:ctrlPr>
                <w:rPr>
                  <w:rFonts w:ascii="Cambria Math" w:eastAsia="Times New Roman" w:hAnsi="Cambria Math" w:cs="Times New Roman"/>
                  <w:i/>
                  <w:lang w:val="en-US"/>
                </w:rPr>
              </m:ctrlPr>
            </m:sSubPr>
            <m:e>
              <m:r>
                <w:rPr>
                  <w:rFonts w:ascii="Cambria Math" w:eastAsia="Times New Roman" w:hAnsi="Cambria Math" w:cs="Times New Roman"/>
                  <w:lang w:val="en-US"/>
                </w:rPr>
                <m:t>e</m:t>
              </m:r>
            </m:e>
            <m:sub>
              <m:r>
                <w:rPr>
                  <w:rFonts w:ascii="Cambria Math" w:eastAsia="Times New Roman" w:hAnsi="Cambria Math" w:cs="Times New Roman"/>
                  <w:lang w:val="en-US"/>
                </w:rPr>
                <m:t>j</m:t>
              </m:r>
            </m:sub>
          </m:sSub>
          <m:r>
            <w:rPr>
              <w:rFonts w:ascii="Cambria Math" w:eastAsia="Times New Roman" w:hAnsi="Cambria Math" w:cs="Times New Roman"/>
              <w:lang w:val="en-US"/>
            </w:rPr>
            <m:t>=-</m:t>
          </m:r>
          <m:f>
            <m:fPr>
              <m:ctrlPr>
                <w:rPr>
                  <w:rFonts w:ascii="Cambria Math" w:eastAsia="Times New Roman" w:hAnsi="Cambria Math" w:cs="Times New Roman"/>
                  <w:lang w:val="en-US"/>
                </w:rPr>
              </m:ctrlPr>
            </m:fPr>
            <m:num>
              <m:r>
                <w:rPr>
                  <w:rFonts w:ascii="Cambria Math" w:eastAsia="Times New Roman" w:hAnsi="Cambria Math" w:cs="Times New Roman"/>
                  <w:lang w:val="en-US"/>
                </w:rPr>
                <m:t>1</m:t>
              </m:r>
              <m:ctrlPr>
                <w:rPr>
                  <w:rFonts w:ascii="Cambria Math" w:eastAsia="Times New Roman" w:hAnsi="Cambria Math" w:cs="Times New Roman"/>
                  <w:i/>
                  <w:lang w:val="en-US"/>
                </w:rPr>
              </m:ctrlPr>
            </m:num>
            <m:den>
              <m:func>
                <m:funcPr>
                  <m:ctrlPr>
                    <w:rPr>
                      <w:rFonts w:ascii="Cambria Math" w:eastAsia="Times New Roman" w:hAnsi="Cambria Math" w:cs="Times New Roman"/>
                      <w:lang w:val="en-US"/>
                    </w:rPr>
                  </m:ctrlPr>
                </m:funcPr>
                <m:fName>
                  <m:r>
                    <m:rPr>
                      <m:sty m:val="p"/>
                    </m:rPr>
                    <w:rPr>
                      <w:rFonts w:ascii="Cambria Math" w:eastAsia="Times New Roman" w:hAnsi="Cambria Math" w:cs="Times New Roman"/>
                      <w:lang w:val="en-US"/>
                    </w:rPr>
                    <m:t>ln</m:t>
                  </m:r>
                  <m:ctrlPr>
                    <w:rPr>
                      <w:rFonts w:ascii="Cambria Math" w:eastAsia="Times New Roman" w:hAnsi="Cambria Math" w:cs="Times New Roman"/>
                      <w:i/>
                      <w:lang w:val="en-US"/>
                    </w:rPr>
                  </m:ctrlPr>
                </m:fName>
                <m:e>
                  <m:d>
                    <m:dPr>
                      <m:ctrlPr>
                        <w:rPr>
                          <w:rFonts w:ascii="Cambria Math" w:eastAsia="Times New Roman" w:hAnsi="Cambria Math" w:cs="Times New Roman"/>
                          <w:i/>
                          <w:lang w:val="en-US"/>
                        </w:rPr>
                      </m:ctrlPr>
                    </m:dPr>
                    <m:e>
                      <m:r>
                        <w:rPr>
                          <w:rFonts w:ascii="Cambria Math" w:eastAsia="Times New Roman" w:hAnsi="Cambria Math" w:cs="Times New Roman"/>
                          <w:lang w:val="en-US"/>
                        </w:rPr>
                        <m:t>n</m:t>
                      </m:r>
                    </m:e>
                  </m:d>
                </m:e>
              </m:func>
              <m:ctrlPr>
                <w:rPr>
                  <w:rFonts w:ascii="Cambria Math" w:eastAsia="Times New Roman" w:hAnsi="Cambria Math" w:cs="Times New Roman"/>
                  <w:i/>
                  <w:lang w:val="en-US"/>
                </w:rPr>
              </m:ctrlPr>
            </m:den>
          </m:f>
          <m:nary>
            <m:naryPr>
              <m:chr m:val="∑"/>
              <m:ctrlPr>
                <w:rPr>
                  <w:rFonts w:ascii="Cambria Math" w:eastAsia="Times New Roman" w:hAnsi="Cambria Math" w:cs="Times New Roman"/>
                  <w:lang w:val="en-US"/>
                </w:rPr>
              </m:ctrlPr>
            </m:naryPr>
            <m:sub>
              <m:r>
                <w:rPr>
                  <w:rFonts w:ascii="Cambria Math" w:eastAsia="Times New Roman" w:hAnsi="Cambria Math" w:cs="Times New Roman"/>
                  <w:lang w:val="en-US"/>
                </w:rPr>
                <m:t>i</m:t>
              </m:r>
              <m:r>
                <w:rPr>
                  <w:rFonts w:ascii="Cambria Math" w:eastAsia="Times New Roman" w:hAnsi="Cambria Math" w:cs="Times New Roman"/>
                  <w:lang w:val="en-US"/>
                </w:rPr>
                <m:t>=1</m:t>
              </m:r>
              <m:ctrlPr>
                <w:rPr>
                  <w:rFonts w:ascii="Cambria Math" w:eastAsia="Times New Roman" w:hAnsi="Cambria Math" w:cs="Times New Roman"/>
                  <w:i/>
                  <w:lang w:val="en-US"/>
                </w:rPr>
              </m:ctrlPr>
            </m:sub>
            <m:sup>
              <m:r>
                <w:rPr>
                  <w:rFonts w:ascii="Cambria Math" w:eastAsia="Times New Roman" w:hAnsi="Cambria Math" w:cs="Times New Roman"/>
                  <w:lang w:val="en-US"/>
                </w:rPr>
                <m:t>n</m:t>
              </m:r>
              <m:ctrlPr>
                <w:rPr>
                  <w:rFonts w:ascii="Cambria Math" w:eastAsia="Times New Roman" w:hAnsi="Cambria Math" w:cs="Times New Roman"/>
                  <w:i/>
                  <w:lang w:val="en-US"/>
                </w:rPr>
              </m:ctrlPr>
            </m:sup>
            <m:e>
              <m:sSub>
                <m:sSubPr>
                  <m:ctrlPr>
                    <w:rPr>
                      <w:rFonts w:ascii="Cambria Math" w:eastAsia="Times New Roman" w:hAnsi="Cambria Math" w:cs="Times New Roman"/>
                      <w:i/>
                      <w:lang w:val="en-US"/>
                    </w:rPr>
                  </m:ctrlPr>
                </m:sSubPr>
                <m:e>
                  <m:r>
                    <w:rPr>
                      <w:rFonts w:ascii="Cambria Math" w:eastAsia="Times New Roman" w:hAnsi="Cambria Math" w:cs="Times New Roman"/>
                      <w:lang w:val="en-US"/>
                    </w:rPr>
                    <m:t>P</m:t>
                  </m:r>
                </m:e>
                <m:sub>
                  <m:r>
                    <w:rPr>
                      <w:rFonts w:ascii="Cambria Math" w:eastAsia="Times New Roman" w:hAnsi="Cambria Math" w:cs="Times New Roman"/>
                      <w:lang w:val="en-US"/>
                    </w:rPr>
                    <m:t>ij</m:t>
                  </m:r>
                </m:sub>
              </m:sSub>
              <m:ctrlPr>
                <w:rPr>
                  <w:rFonts w:ascii="Cambria Math" w:eastAsia="Times New Roman" w:hAnsi="Cambria Math" w:cs="Times New Roman"/>
                  <w:i/>
                  <w:lang w:val="en-US"/>
                </w:rPr>
              </m:ctrlPr>
            </m:e>
          </m:nary>
          <m:func>
            <m:funcPr>
              <m:ctrlPr>
                <w:rPr>
                  <w:rFonts w:ascii="Cambria Math" w:eastAsia="Times New Roman" w:hAnsi="Cambria Math" w:cs="Times New Roman"/>
                  <w:lang w:val="en-US"/>
                </w:rPr>
              </m:ctrlPr>
            </m:funcPr>
            <m:fName>
              <m:r>
                <m:rPr>
                  <m:sty m:val="p"/>
                </m:rPr>
                <w:rPr>
                  <w:rFonts w:ascii="Cambria Math" w:eastAsia="Times New Roman" w:hAnsi="Cambria Math" w:cs="Times New Roman"/>
                  <w:lang w:val="en-US"/>
                </w:rPr>
                <m:t>ln</m:t>
              </m:r>
            </m:fName>
            <m:e>
              <m:d>
                <m:dPr>
                  <m:ctrlPr>
                    <w:rPr>
                      <w:rFonts w:ascii="Cambria Math" w:eastAsia="Times New Roman" w:hAnsi="Cambria Math" w:cs="Times New Roman"/>
                      <w:i/>
                      <w:lang w:val="en-US"/>
                    </w:rPr>
                  </m:ctrlPr>
                </m:dPr>
                <m:e>
                  <m:sSub>
                    <m:sSubPr>
                      <m:ctrlPr>
                        <w:rPr>
                          <w:rFonts w:ascii="Cambria Math" w:eastAsia="Times New Roman" w:hAnsi="Cambria Math" w:cs="Times New Roman"/>
                          <w:i/>
                          <w:lang w:val="en-US"/>
                        </w:rPr>
                      </m:ctrlPr>
                    </m:sSubPr>
                    <m:e>
                      <m:r>
                        <w:rPr>
                          <w:rFonts w:ascii="Cambria Math" w:eastAsia="Times New Roman" w:hAnsi="Cambria Math" w:cs="Times New Roman"/>
                          <w:lang w:val="en-US"/>
                        </w:rPr>
                        <m:t>P</m:t>
                      </m:r>
                    </m:e>
                    <m:sub>
                      <m:r>
                        <w:rPr>
                          <w:rFonts w:ascii="Cambria Math" w:eastAsia="Times New Roman" w:hAnsi="Cambria Math" w:cs="Times New Roman"/>
                          <w:lang w:val="en-US"/>
                        </w:rPr>
                        <m:t>ij</m:t>
                      </m:r>
                    </m:sub>
                  </m:sSub>
                </m:e>
              </m:d>
            </m:e>
          </m:func>
          <m:r>
            <m:rPr>
              <m:sty m:val="p"/>
            </m:rPr>
            <w:rPr>
              <w:rFonts w:ascii="Cambria Math" w:eastAsia="Times New Roman" w:hAnsi="Cambria Math" w:cs="Times New Roman"/>
              <w:lang w:val="en-US"/>
            </w:rPr>
            <m:t> </m:t>
          </m:r>
          <m:r>
            <m:rPr>
              <m:nor/>
            </m:rPr>
            <w:rPr>
              <w:rFonts w:ascii="Cambria Math" w:eastAsia="Times New Roman" w:hAnsi="Cambria Math" w:cs="Times New Roman"/>
              <w:lang w:val="en-US"/>
            </w:rPr>
            <m:t>(Eq. 2)</m:t>
          </m:r>
        </m:oMath>
      </m:oMathPara>
    </w:p>
    <w:p w14:paraId="69682114" w14:textId="0C214029" w:rsidR="26EBA45C" w:rsidRPr="00EE2AF4" w:rsidRDefault="26EBA45C" w:rsidP="7F503041">
      <w:pPr>
        <w:spacing w:before="0" w:after="240"/>
        <w:rPr>
          <w:lang w:val="en-US"/>
        </w:rPr>
      </w:pPr>
      <w:r w:rsidRPr="7F503041">
        <w:rPr>
          <w:rFonts w:eastAsia="Times New Roman" w:cs="Times New Roman"/>
          <w:lang w:val="en-US"/>
        </w:rPr>
        <w:t>Step 3: Diversity Calculation</w:t>
      </w:r>
    </w:p>
    <w:p w14:paraId="5F1515BD" w14:textId="183FEBB3" w:rsidR="26EBA45C" w:rsidRPr="00EE2AF4" w:rsidRDefault="26EBA45C" w:rsidP="7F503041">
      <w:pPr>
        <w:spacing w:before="0" w:after="240"/>
        <w:rPr>
          <w:lang w:val="en-US"/>
        </w:rPr>
      </w:pPr>
      <w:r w:rsidRPr="7F503041">
        <w:rPr>
          <w:rFonts w:eastAsia="Times New Roman" w:cs="Times New Roman"/>
          <w:lang w:val="en-US"/>
        </w:rPr>
        <w:lastRenderedPageBreak/>
        <w:t>The degree of divergence (</w:t>
      </w:r>
      <m:oMath>
        <m:sSub>
          <m:sSubPr>
            <m:ctrlPr>
              <w:rPr>
                <w:rFonts w:ascii="Cambria Math" w:eastAsia="Times New Roman" w:hAnsi="Cambria Math" w:cs="Times New Roman"/>
                <w:i/>
                <w:lang w:val="en-US"/>
              </w:rPr>
            </m:ctrlPr>
          </m:sSubPr>
          <m:e>
            <m:r>
              <w:rPr>
                <w:rFonts w:ascii="Cambria Math" w:eastAsia="Times New Roman" w:hAnsi="Cambria Math" w:cs="Times New Roman"/>
                <w:lang w:val="en-US"/>
              </w:rPr>
              <m:t>d</m:t>
            </m:r>
          </m:e>
          <m:sub>
            <m:r>
              <w:rPr>
                <w:rFonts w:ascii="Cambria Math" w:eastAsia="Times New Roman" w:hAnsi="Cambria Math" w:cs="Times New Roman"/>
                <w:lang w:val="en-US"/>
              </w:rPr>
              <m:t>j</m:t>
            </m:r>
          </m:sub>
        </m:sSub>
      </m:oMath>
      <w:r w:rsidRPr="7F503041">
        <w:rPr>
          <w:rFonts w:eastAsia="Times New Roman" w:cs="Times New Roman"/>
          <w:lang w:val="en-US"/>
        </w:rPr>
        <w:t xml:space="preserve">) is calculated as the complement of entropy. A higher </w:t>
      </w:r>
      <m:oMath>
        <m:sSub>
          <m:sSubPr>
            <m:ctrlPr>
              <w:rPr>
                <w:rFonts w:ascii="Cambria Math" w:eastAsia="Times New Roman" w:hAnsi="Cambria Math" w:cs="Times New Roman"/>
                <w:i/>
                <w:lang w:val="en-US"/>
              </w:rPr>
            </m:ctrlPr>
          </m:sSubPr>
          <m:e>
            <m:r>
              <w:rPr>
                <w:rFonts w:ascii="Cambria Math" w:eastAsia="Times New Roman" w:hAnsi="Cambria Math" w:cs="Times New Roman"/>
                <w:lang w:val="en-US"/>
              </w:rPr>
              <m:t>d</m:t>
            </m:r>
          </m:e>
          <m:sub>
            <m:r>
              <w:rPr>
                <w:rFonts w:ascii="Cambria Math" w:eastAsia="Times New Roman" w:hAnsi="Cambria Math" w:cs="Times New Roman"/>
                <w:lang w:val="en-US"/>
              </w:rPr>
              <m:t>j</m:t>
            </m:r>
          </m:sub>
        </m:sSub>
      </m:oMath>
      <w:r w:rsidRPr="7F503041">
        <w:rPr>
          <w:rFonts w:eastAsia="Times New Roman" w:cs="Times New Roman"/>
          <w:lang w:val="en-US"/>
        </w:rPr>
        <w:t xml:space="preserve"> indicates that the indicator provides more useful information (higher discrimination) among the countries:</w:t>
      </w:r>
    </w:p>
    <w:p w14:paraId="12C447E3" w14:textId="084DA117" w:rsidR="26EBA45C" w:rsidRPr="00441643" w:rsidRDefault="00000000" w:rsidP="7F503041">
      <w:pPr>
        <w:spacing w:before="0" w:after="0"/>
        <w:rPr>
          <w:lang w:val="en-US"/>
        </w:rPr>
      </w:pPr>
      <m:oMathPara>
        <m:oMath>
          <m:sSub>
            <m:sSubPr>
              <m:ctrlPr>
                <w:rPr>
                  <w:rFonts w:ascii="Cambria Math" w:eastAsia="Times New Roman" w:hAnsi="Cambria Math" w:cs="Times New Roman"/>
                  <w:i/>
                  <w:lang w:val="de-DE"/>
                </w:rPr>
              </m:ctrlPr>
            </m:sSubPr>
            <m:e>
              <m:r>
                <w:rPr>
                  <w:rFonts w:ascii="Cambria Math" w:eastAsia="Times New Roman" w:hAnsi="Cambria Math" w:cs="Times New Roman"/>
                  <w:lang w:val="de-DE"/>
                </w:rPr>
                <m:t>d</m:t>
              </m:r>
            </m:e>
            <m:sub>
              <m:r>
                <w:rPr>
                  <w:rFonts w:ascii="Cambria Math" w:eastAsia="Times New Roman" w:hAnsi="Cambria Math" w:cs="Times New Roman"/>
                  <w:lang w:val="de-DE"/>
                </w:rPr>
                <m:t>j</m:t>
              </m:r>
            </m:sub>
          </m:sSub>
          <m:r>
            <w:rPr>
              <w:rFonts w:ascii="Cambria Math" w:eastAsia="Times New Roman" w:hAnsi="Cambria Math" w:cs="Times New Roman"/>
              <w:lang w:val="en-US"/>
            </w:rPr>
            <m:t>=1-</m:t>
          </m:r>
          <m:sSub>
            <m:sSubPr>
              <m:ctrlPr>
                <w:rPr>
                  <w:rFonts w:ascii="Cambria Math" w:eastAsia="Times New Roman" w:hAnsi="Cambria Math" w:cs="Times New Roman"/>
                  <w:i/>
                  <w:lang w:val="de-DE"/>
                </w:rPr>
              </m:ctrlPr>
            </m:sSubPr>
            <m:e>
              <m:r>
                <w:rPr>
                  <w:rFonts w:ascii="Cambria Math" w:eastAsia="Times New Roman" w:hAnsi="Cambria Math" w:cs="Times New Roman"/>
                  <w:lang w:val="de-DE"/>
                </w:rPr>
                <m:t>e</m:t>
              </m:r>
            </m:e>
            <m:sub>
              <m:r>
                <w:rPr>
                  <w:rFonts w:ascii="Cambria Math" w:eastAsia="Times New Roman" w:hAnsi="Cambria Math" w:cs="Times New Roman"/>
                  <w:lang w:val="de-DE"/>
                </w:rPr>
                <m:t>j</m:t>
              </m:r>
            </m:sub>
          </m:sSub>
          <m:r>
            <m:rPr>
              <m:sty m:val="p"/>
            </m:rPr>
            <w:rPr>
              <w:rFonts w:ascii="Cambria Math" w:eastAsia="Times New Roman" w:hAnsi="Cambria Math" w:cs="Times New Roman"/>
              <w:lang w:val="de-DE"/>
            </w:rPr>
            <m:t> </m:t>
          </m:r>
          <m:r>
            <m:rPr>
              <m:nor/>
            </m:rPr>
            <w:rPr>
              <w:rFonts w:ascii="Cambria Math" w:eastAsia="Times New Roman" w:hAnsi="Cambria Math" w:cs="Times New Roman"/>
              <w:lang w:val="en-US"/>
            </w:rPr>
            <m:t>(Eq. 3)</m:t>
          </m:r>
        </m:oMath>
      </m:oMathPara>
    </w:p>
    <w:p w14:paraId="7D7EA097" w14:textId="307F3E5C" w:rsidR="26EBA45C" w:rsidRPr="00EE2AF4" w:rsidRDefault="26EBA45C" w:rsidP="7F503041">
      <w:pPr>
        <w:spacing w:before="0" w:after="240"/>
        <w:rPr>
          <w:lang w:val="en-US"/>
        </w:rPr>
      </w:pPr>
      <w:r w:rsidRPr="7F503041">
        <w:rPr>
          <w:rFonts w:eastAsia="Times New Roman" w:cs="Times New Roman"/>
          <w:lang w:val="en-US"/>
        </w:rPr>
        <w:t>Step 4: Objective Weight Determination</w:t>
      </w:r>
    </w:p>
    <w:p w14:paraId="5BC1D516" w14:textId="409C7BD5" w:rsidR="26EBA45C" w:rsidRPr="00EE2AF4" w:rsidRDefault="26EBA45C" w:rsidP="7F503041">
      <w:pPr>
        <w:spacing w:before="0" w:after="240"/>
        <w:rPr>
          <w:lang w:val="en-US"/>
        </w:rPr>
      </w:pPr>
      <w:r w:rsidRPr="7F503041">
        <w:rPr>
          <w:rFonts w:eastAsia="Times New Roman" w:cs="Times New Roman"/>
          <w:lang w:val="en-US"/>
        </w:rPr>
        <w:t>The final pillar-internal weights (</w:t>
      </w:r>
      <m:oMath>
        <m:sSub>
          <m:sSubPr>
            <m:ctrlPr>
              <w:rPr>
                <w:rFonts w:ascii="Cambria Math" w:eastAsia="Times New Roman" w:hAnsi="Cambria Math" w:cs="Times New Roman"/>
                <w:i/>
                <w:lang w:val="en-US"/>
              </w:rPr>
            </m:ctrlPr>
          </m:sSubPr>
          <m:e>
            <m:r>
              <w:rPr>
                <w:rFonts w:ascii="Cambria Math" w:eastAsia="Times New Roman" w:hAnsi="Cambria Math" w:cs="Times New Roman"/>
                <w:lang w:val="en-US"/>
              </w:rPr>
              <m:t>w</m:t>
            </m:r>
          </m:e>
          <m:sub>
            <m:r>
              <w:rPr>
                <w:rFonts w:ascii="Cambria Math" w:eastAsia="Times New Roman" w:hAnsi="Cambria Math" w:cs="Times New Roman"/>
                <w:lang w:val="en-US"/>
              </w:rPr>
              <m:t>j</m:t>
            </m:r>
          </m:sub>
        </m:sSub>
      </m:oMath>
      <w:r w:rsidRPr="7F503041">
        <w:rPr>
          <w:rFonts w:eastAsia="Times New Roman" w:cs="Times New Roman"/>
          <w:lang w:val="en-US"/>
        </w:rPr>
        <w:t>) are computed by normalizing the diversity score relative to the total diversity of all indicators:</w:t>
      </w:r>
    </w:p>
    <w:p w14:paraId="3EDE8EE2" w14:textId="66E55525" w:rsidR="26EBA45C" w:rsidRPr="00EE2AF4" w:rsidRDefault="00000000" w:rsidP="7F503041">
      <w:pPr>
        <w:spacing w:before="0" w:after="0"/>
        <w:rPr>
          <w:lang w:val="en-US"/>
        </w:rPr>
      </w:pPr>
      <m:oMathPara>
        <m:oMath>
          <m:sSub>
            <m:sSubPr>
              <m:ctrlPr>
                <w:rPr>
                  <w:rFonts w:ascii="Cambria Math" w:eastAsia="Times New Roman" w:hAnsi="Cambria Math" w:cs="Times New Roman"/>
                  <w:i/>
                  <w:lang w:val="en-US"/>
                </w:rPr>
              </m:ctrlPr>
            </m:sSubPr>
            <m:e>
              <m:r>
                <w:rPr>
                  <w:rFonts w:ascii="Cambria Math" w:eastAsia="Times New Roman" w:hAnsi="Cambria Math" w:cs="Times New Roman"/>
                  <w:lang w:val="en-US"/>
                </w:rPr>
                <m:t>w</m:t>
              </m:r>
            </m:e>
            <m:sub>
              <m:r>
                <w:rPr>
                  <w:rFonts w:ascii="Cambria Math" w:eastAsia="Times New Roman" w:hAnsi="Cambria Math" w:cs="Times New Roman"/>
                  <w:lang w:val="en-US"/>
                </w:rPr>
                <m:t>j</m:t>
              </m:r>
            </m:sub>
          </m:sSub>
          <m:r>
            <w:rPr>
              <w:rFonts w:ascii="Cambria Math" w:eastAsia="Times New Roman" w:hAnsi="Cambria Math" w:cs="Times New Roman"/>
              <w:lang w:val="en-US"/>
            </w:rPr>
            <m:t>=</m:t>
          </m:r>
          <m:f>
            <m:fPr>
              <m:ctrlPr>
                <w:rPr>
                  <w:rFonts w:ascii="Cambria Math" w:eastAsia="Times New Roman" w:hAnsi="Cambria Math" w:cs="Times New Roman"/>
                  <w:lang w:val="en-US"/>
                </w:rPr>
              </m:ctrlPr>
            </m:fPr>
            <m:num>
              <m:sSub>
                <m:sSubPr>
                  <m:ctrlPr>
                    <w:rPr>
                      <w:rFonts w:ascii="Cambria Math" w:eastAsia="Times New Roman" w:hAnsi="Cambria Math" w:cs="Times New Roman"/>
                      <w:i/>
                      <w:lang w:val="en-US"/>
                    </w:rPr>
                  </m:ctrlPr>
                </m:sSubPr>
                <m:e>
                  <m:r>
                    <w:rPr>
                      <w:rFonts w:ascii="Cambria Math" w:eastAsia="Times New Roman" w:hAnsi="Cambria Math" w:cs="Times New Roman"/>
                      <w:lang w:val="en-US"/>
                    </w:rPr>
                    <m:t>d</m:t>
                  </m:r>
                </m:e>
                <m:sub>
                  <m:r>
                    <w:rPr>
                      <w:rFonts w:ascii="Cambria Math" w:eastAsia="Times New Roman" w:hAnsi="Cambria Math" w:cs="Times New Roman"/>
                      <w:lang w:val="en-US"/>
                    </w:rPr>
                    <m:t>j</m:t>
                  </m:r>
                </m:sub>
              </m:sSub>
              <m:ctrlPr>
                <w:rPr>
                  <w:rFonts w:ascii="Cambria Math" w:eastAsia="Times New Roman" w:hAnsi="Cambria Math" w:cs="Times New Roman"/>
                  <w:i/>
                  <w:lang w:val="en-US"/>
                </w:rPr>
              </m:ctrlPr>
            </m:num>
            <m:den>
              <m:nary>
                <m:naryPr>
                  <m:chr m:val="∑"/>
                  <m:supHide m:val="1"/>
                  <m:ctrlPr>
                    <w:rPr>
                      <w:rFonts w:ascii="Cambria Math" w:eastAsia="Times New Roman" w:hAnsi="Cambria Math" w:cs="Times New Roman"/>
                      <w:lang w:val="en-US"/>
                    </w:rPr>
                  </m:ctrlPr>
                </m:naryPr>
                <m:sub>
                  <m:r>
                    <w:rPr>
                      <w:rFonts w:ascii="Cambria Math" w:eastAsia="Times New Roman" w:hAnsi="Cambria Math" w:cs="Times New Roman"/>
                      <w:lang w:val="en-US"/>
                    </w:rPr>
                    <m:t>l</m:t>
                  </m:r>
                  <m:ctrlPr>
                    <w:rPr>
                      <w:rFonts w:ascii="Cambria Math" w:eastAsia="Times New Roman" w:hAnsi="Cambria Math" w:cs="Times New Roman"/>
                      <w:i/>
                      <w:lang w:val="en-US"/>
                    </w:rPr>
                  </m:ctrlPr>
                </m:sub>
                <m:sup>
                  <m:ctrlPr>
                    <w:rPr>
                      <w:rFonts w:ascii="Cambria Math" w:eastAsia="Times New Roman" w:hAnsi="Cambria Math" w:cs="Times New Roman"/>
                      <w:i/>
                      <w:lang w:val="en-US"/>
                    </w:rPr>
                  </m:ctrlPr>
                </m:sup>
                <m:e>
                  <m:sSub>
                    <m:sSubPr>
                      <m:ctrlPr>
                        <w:rPr>
                          <w:rFonts w:ascii="Cambria Math" w:eastAsia="Times New Roman" w:hAnsi="Cambria Math" w:cs="Times New Roman"/>
                          <w:i/>
                          <w:lang w:val="en-US"/>
                        </w:rPr>
                      </m:ctrlPr>
                    </m:sSubPr>
                    <m:e>
                      <m:r>
                        <w:rPr>
                          <w:rFonts w:ascii="Cambria Math" w:eastAsia="Times New Roman" w:hAnsi="Cambria Math" w:cs="Times New Roman"/>
                          <w:lang w:val="en-US"/>
                        </w:rPr>
                        <m:t>d</m:t>
                      </m:r>
                    </m:e>
                    <m:sub>
                      <m:r>
                        <w:rPr>
                          <w:rFonts w:ascii="Cambria Math" w:eastAsia="Times New Roman" w:hAnsi="Cambria Math" w:cs="Times New Roman"/>
                          <w:lang w:val="en-US"/>
                        </w:rPr>
                        <m:t>l</m:t>
                      </m:r>
                    </m:sub>
                  </m:sSub>
                  <m:ctrlPr>
                    <w:rPr>
                      <w:rFonts w:ascii="Cambria Math" w:eastAsia="Times New Roman" w:hAnsi="Cambria Math" w:cs="Times New Roman"/>
                      <w:i/>
                      <w:lang w:val="en-US"/>
                    </w:rPr>
                  </m:ctrlPr>
                </m:e>
              </m:nary>
              <m:ctrlPr>
                <w:rPr>
                  <w:rFonts w:ascii="Cambria Math" w:eastAsia="Times New Roman" w:hAnsi="Cambria Math" w:cs="Times New Roman"/>
                  <w:i/>
                  <w:lang w:val="en-US"/>
                </w:rPr>
              </m:ctrlPr>
            </m:den>
          </m:f>
          <m:r>
            <m:rPr>
              <m:sty m:val="p"/>
            </m:rPr>
            <w:rPr>
              <w:rFonts w:ascii="Cambria Math" w:eastAsia="Times New Roman" w:hAnsi="Cambria Math" w:cs="Times New Roman"/>
              <w:lang w:val="en-US"/>
            </w:rPr>
            <m:t> </m:t>
          </m:r>
          <m:r>
            <m:rPr>
              <m:nor/>
            </m:rPr>
            <w:rPr>
              <w:rFonts w:ascii="Cambria Math" w:eastAsia="Times New Roman" w:hAnsi="Cambria Math" w:cs="Times New Roman"/>
              <w:lang w:val="en-US"/>
            </w:rPr>
            <m:t>(Eq. 4)</m:t>
          </m:r>
        </m:oMath>
      </m:oMathPara>
    </w:p>
    <w:p w14:paraId="4E0C68A8" w14:textId="42CFDC37" w:rsidR="26EBA45C" w:rsidRPr="00EE2AF4" w:rsidRDefault="26EBA45C" w:rsidP="00441643">
      <w:pPr>
        <w:spacing w:before="0" w:after="240"/>
        <w:rPr>
          <w:lang w:val="en-US"/>
        </w:rPr>
      </w:pPr>
      <w:r w:rsidRPr="7F503041">
        <w:rPr>
          <w:rFonts w:eastAsia="Times New Roman" w:cs="Times New Roman"/>
          <w:lang w:val="en-US"/>
        </w:rPr>
        <w:t xml:space="preserve">This data-driven procedure has proven effective in agricultural sustainability composites by emphasizing indicators that discriminate more strongly in the observed data </w:t>
      </w:r>
      <w:sdt>
        <w:sdtPr>
          <w:rPr>
            <w:rFonts w:cs="Times New Roman"/>
            <w:color w:val="000000"/>
            <w:lang w:val="en-US"/>
          </w:rPr>
          <w:tag w:val="MENDELEY_CITATION_v3_eyJjaXRhdGlvbklEIjoiTUVOREVMRVlfQ0lUQVRJT05fYWJhYWE3NjItYzBjYi00NGI3LWFiMTItZmNmZjM4MDk3OWFmIiwicHJvcGVydGllcyI6eyJub3RlSW5kZXgiOjB9LCJpc0VkaXRlZCI6ZmFsc2UsIm1hbnVhbE92ZXJyaWRlIjp7ImlzTWFudWFsbHlPdmVycmlkZGVuIjpmYWxzZSwiY2l0ZXByb2NUZXh0IjoiKERhYmtpZW5lIGV0IGFsLiwgMjAyMSkiLCJtYW51YWxPdmVycmlkZVRleHQiOiIifSwiY2l0YXRpb25JdGVtcyI6W3siaWQiOiJlYTQ0YWFkZS1iZmFjLTMyMWQtYjcyOC03Y2U5M2E5N2JkMWUiLCJpdGVtRGF0YSI6eyJ0eXBlIjoiYXJ0aWNsZS1qb3VybmFsIiwiaWQiOiJlYTQ0YWFkZS1iZmFjLTMyMWQtYjcyOC03Y2U5M2E5N2JkMWUiLCJ0aXRsZSI6IkRldmVsb3BtZW50IG9mIGFncmktZW52aXJvbm1lbnRhbCBmb290cHJpbnQgaW5kaWNhdG9yIHVzaW5nIHRoZSBGQUROIGRhdGE6IFRyYWNraW5nIGRldmVsb3BtZW50IG9mIHN1c3RhaW5hYmxlIGFncmljdWx0dXJhbCBkZXZlbG9wbWVudCBpbiBFYXN0ZXJuIEV1cm9wZSIsImF1dGhvciI6W3siZmFtaWx5IjoiRGFia2llbmUiLCJnaXZlbiI6IlZpZGEiLCJwYXJzZS1uYW1lcyI6ZmFsc2UsImRyb3BwaW5nLXBhcnRpY2xlIjoiIiwibm9uLWRyb3BwaW5nLXBhcnRpY2xlIjoiIn0seyJmYW1pbHkiOiJCYWxlemVudGlzIiwiZ2l2ZW4iOiJUb21hcyIsInBhcnNlLW5hbWVzIjpmYWxzZSwiZHJvcHBpbmctcGFydGljbGUiOiIiLCJub24tZHJvcHBpbmctcGFydGljbGUiOiIifSx7ImZhbWlseSI6IlN0cmVpbWlraWVuZSIsImdpdmVuIjoiRGFsaWEiLCJwYXJzZS1uYW1lcyI6ZmFsc2UsImRyb3BwaW5nLXBhcnRpY2xlIjoiIiwibm9uLWRyb3BwaW5nLXBhcnRpY2xlIjoiIn1dLCJjb250YWluZXItdGl0bGUiOiJTdXN0YWluYWJsZSBQcm9kdWN0aW9uIGFuZCBDb25zdW1wdGlvbiIsIkRPSSI6IjEwLjEwMTYvai5zcGMuMjAyMS4wNS4wMTciLCJJU1NOIjoiMjM1MjU1MDkiLCJpc3N1ZWQiOnsiZGF0ZS1wYXJ0cyI6W1syMDIxLDddXX0sInBhZ2UiOiIyMTIxLTIxMzMiLCJ2b2x1bWUiOiIyNyIsImNvbnRhaW5lci10aXRsZS1zaG9ydCI6IlN1c3RhaW4uIFByb2QuIENvbnN1bS4ifSwiaXNUZW1wb3JhcnkiOmZhbHNlfV19"/>
          <w:id w:val="29238663"/>
          <w:placeholder>
            <w:docPart w:val="25A97547FB7847D48B54447EB705FADE"/>
          </w:placeholder>
        </w:sdtPr>
        <w:sdtContent>
          <w:r w:rsidR="00537574" w:rsidRPr="00537574">
            <w:rPr>
              <w:rFonts w:cs="Times New Roman"/>
              <w:color w:val="000000"/>
              <w:lang w:val="en-US"/>
            </w:rPr>
            <w:t>(</w:t>
          </w:r>
          <w:proofErr w:type="spellStart"/>
          <w:r w:rsidR="00537574" w:rsidRPr="00537574">
            <w:rPr>
              <w:rFonts w:cs="Times New Roman"/>
              <w:color w:val="000000"/>
              <w:lang w:val="en-US"/>
            </w:rPr>
            <w:t>Dabkiene</w:t>
          </w:r>
          <w:proofErr w:type="spellEnd"/>
          <w:r w:rsidR="00537574" w:rsidRPr="00537574">
            <w:rPr>
              <w:rFonts w:cs="Times New Roman"/>
              <w:color w:val="000000"/>
              <w:lang w:val="en-US"/>
            </w:rPr>
            <w:t xml:space="preserve"> et al., 2021)</w:t>
          </w:r>
        </w:sdtContent>
      </w:sdt>
      <w:r w:rsidRPr="7F503041">
        <w:rPr>
          <w:rFonts w:eastAsia="Times New Roman" w:cs="Times New Roman"/>
          <w:lang w:val="en-US"/>
        </w:rPr>
        <w:t>. The final pillar score for each country is subsequently calculated as the linear sum of the min–max normalized values, weighted by the entropy-derived coefficients (</w:t>
      </w:r>
      <m:oMath>
        <m:sSub>
          <m:sSubPr>
            <m:ctrlPr>
              <w:rPr>
                <w:rFonts w:ascii="Cambria Math" w:eastAsia="Times New Roman" w:hAnsi="Cambria Math" w:cs="Times New Roman"/>
                <w:i/>
                <w:lang w:val="en-US"/>
              </w:rPr>
            </m:ctrlPr>
          </m:sSubPr>
          <m:e>
            <m:r>
              <w:rPr>
                <w:rFonts w:ascii="Cambria Math" w:eastAsia="Times New Roman" w:hAnsi="Cambria Math" w:cs="Times New Roman"/>
                <w:lang w:val="en-US"/>
              </w:rPr>
              <m:t>w</m:t>
            </m:r>
          </m:e>
          <m:sub>
            <m:r>
              <w:rPr>
                <w:rFonts w:ascii="Cambria Math" w:eastAsia="Times New Roman" w:hAnsi="Cambria Math" w:cs="Times New Roman"/>
                <w:lang w:val="en-US"/>
              </w:rPr>
              <m:t>j</m:t>
            </m:r>
          </m:sub>
        </m:sSub>
      </m:oMath>
      <w:r w:rsidRPr="7F503041">
        <w:rPr>
          <w:rFonts w:eastAsia="Times New Roman" w:cs="Times New Roman"/>
          <w:lang w:val="en-US"/>
        </w:rPr>
        <w:t>).</w:t>
      </w:r>
    </w:p>
    <w:p w14:paraId="24EB129B" w14:textId="154CB026" w:rsidR="26EBA45C" w:rsidRPr="00EE2AF4" w:rsidRDefault="00F37965" w:rsidP="00F37965">
      <w:pPr>
        <w:pStyle w:val="Ttulo2"/>
        <w:rPr>
          <w:lang w:val="en-US"/>
        </w:rPr>
      </w:pPr>
      <w:r>
        <w:rPr>
          <w:lang w:val="en-US"/>
        </w:rPr>
        <w:t>U</w:t>
      </w:r>
      <w:r w:rsidR="26EBA45C" w:rsidRPr="7F503041">
        <w:rPr>
          <w:lang w:val="en-US"/>
        </w:rPr>
        <w:t>nsupervised Classification (Hierarchical Clustering)</w:t>
      </w:r>
    </w:p>
    <w:p w14:paraId="07AAEB9E" w14:textId="0ECD5EC0" w:rsidR="26EBA45C" w:rsidRDefault="00F37DF4" w:rsidP="7F503041">
      <w:pPr>
        <w:spacing w:before="0" w:after="240"/>
        <w:rPr>
          <w:rFonts w:eastAsia="Times New Roman" w:cs="Times New Roman"/>
          <w:lang w:val="en-US"/>
        </w:rPr>
      </w:pPr>
      <w:r w:rsidRPr="00F37DF4">
        <w:rPr>
          <w:rFonts w:eastAsia="Times New Roman" w:cs="Times New Roman"/>
          <w:lang w:val="en-US"/>
        </w:rPr>
        <w:t>To uncover distinct groups of countries with similar sustainability profiles, an agglomerative hierarchical clustering approach was applied. Unlike standard clustering on raw scores, this analysis was performed on a weighted feature matrix to strictly preserve the salience encoded by the entropy analysis.</w:t>
      </w:r>
      <w:r w:rsidR="00E975EC">
        <w:rPr>
          <w:rFonts w:eastAsia="Times New Roman" w:cs="Times New Roman"/>
          <w:lang w:val="en-US"/>
        </w:rPr>
        <w:t xml:space="preserve"> </w:t>
      </w:r>
    </w:p>
    <w:p w14:paraId="4CF09C60" w14:textId="6A00B2ED" w:rsidR="00E975EC" w:rsidRPr="00E975EC" w:rsidRDefault="00E975EC" w:rsidP="00E975EC">
      <w:pPr>
        <w:spacing w:before="0" w:after="240"/>
        <w:rPr>
          <w:lang w:val="en-US"/>
        </w:rPr>
      </w:pPr>
      <w:r w:rsidRPr="00E975EC">
        <w:rPr>
          <w:lang w:val="en-US"/>
        </w:rPr>
        <w:t xml:space="preserve">Following the protocol described by </w:t>
      </w:r>
      <w:sdt>
        <w:sdtPr>
          <w:rPr>
            <w:rFonts w:cs="Times New Roman"/>
            <w:color w:val="000000"/>
            <w:lang w:val="en-US"/>
          </w:rPr>
          <w:tag w:val="MENDELEY_CITATION_v3_eyJjaXRhdGlvbklEIjoiTUVOREVMRVlfQ0lUQVRJT05fODQwNzA2NDEtMDVjOS00MzhlLWFiZDEtNzVhMmMxMjMzMDY4IiwicHJvcGVydGllcyI6eyJub3RlSW5kZXgiOjAsIm1vZGUiOiJjb21wb3NpdGUifSwiaXNFZGl0ZWQiOmZhbHNlLCJtYW51YWxPdmVycmlkZSI6eyJpc01hbnVhbGx5T3ZlcnJpZGRlbiI6ZmFsc2UsImNpdGVwcm9jVGV4dCI6IkRhYmtpZW5lIGV0IGFsLiAoMjAyMSkiLCJtYW51YWxPdmVycmlkZVRleHQiOiIifSwiY2l0YXRpb25JdGVtcyI6W3siZGlzcGxheUFzIjoiY29tcG9zaXRlIiwibGFiZWwiOiJwYWdlIiwiaWQiOiJlYTQ0YWFkZS1iZmFjLTMyMWQtYjcyOC03Y2U5M2E5N2JkMWUiLCJpdGVtRGF0YSI6eyJ0eXBlIjoiYXJ0aWNsZS1qb3VybmFsIiwiaWQiOiJlYTQ0YWFkZS1iZmFjLTMyMWQtYjcyOC03Y2U5M2E5N2JkMWUiLCJ0aXRsZSI6IkRldmVsb3BtZW50IG9mIGFncmktZW52aXJvbm1lbnRhbCBmb290cHJpbnQgaW5kaWNhdG9yIHVzaW5nIHRoZSBGQUROIGRhdGE6IFRyYWNraW5nIGRldmVsb3BtZW50IG9mIHN1c3RhaW5hYmxlIGFncmljdWx0dXJhbCBkZXZlbG9wbWVudCBpbiBFYXN0ZXJuIEV1cm9wZSIsImF1dGhvciI6W3siZmFtaWx5IjoiRGFia2llbmUiLCJnaXZlbiI6IlZpZGEiLCJwYXJzZS1uYW1lcyI6ZmFsc2UsImRyb3BwaW5nLXBhcnRpY2xlIjoiIiwibm9uLWRyb3BwaW5nLXBhcnRpY2xlIjoiIn0seyJmYW1pbHkiOiJCYWxlemVudGlzIiwiZ2l2ZW4iOiJUb21hcyIsInBhcnNlLW5hbWVzIjpmYWxzZSwiZHJvcHBpbmctcGFydGljbGUiOiIiLCJub24tZHJvcHBpbmctcGFydGljbGUiOiIifSx7ImZhbWlseSI6IlN0cmVpbWlraWVuZSIsImdpdmVuIjoiRGFsaWEiLCJwYXJzZS1uYW1lcyI6ZmFsc2UsImRyb3BwaW5nLXBhcnRpY2xlIjoiIiwibm9uLWRyb3BwaW5nLXBhcnRpY2xlIjoiIn1dLCJjb250YWluZXItdGl0bGUiOiJTdXN0YWluYWJsZSBQcm9kdWN0aW9uIGFuZCBDb25zdW1wdGlvbiIsImNvbnRhaW5lci10aXRsZS1zaG9ydCI6IlN1c3RhaW4uIFByb2QuIENvbnN1bS4iLCJET0kiOiIxMC4xMDE2L2ouc3BjLjIwMjEuMDUuMDE3IiwiSVNTTiI6IjIzNTI1NTA5IiwiaXNzdWVkIjp7ImRhdGUtcGFydHMiOltbMjAyMSw3XV19LCJwYWdlIjoiMjEyMS0yMTMzIiwidm9sdW1lIjoiMjcifSwiaXNUZW1wb3JhcnkiOmZhbHNlLCJzdXBwcmVzcy1hdXRob3IiOmZhbHNlLCJjb21wb3NpdGUiOnRydWUsImF1dGhvci1vbmx5IjpmYWxzZX1dfQ=="/>
          <w:id w:val="908112540"/>
          <w:placeholder>
            <w:docPart w:val="DefaultPlaceholder_-1854013440"/>
          </w:placeholder>
        </w:sdtPr>
        <w:sdtContent>
          <w:proofErr w:type="spellStart"/>
          <w:r w:rsidR="00537574" w:rsidRPr="00537574">
            <w:rPr>
              <w:rFonts w:cs="Times New Roman"/>
              <w:color w:val="000000"/>
              <w:lang w:val="en-US"/>
            </w:rPr>
            <w:t>Dabkiene</w:t>
          </w:r>
          <w:proofErr w:type="spellEnd"/>
          <w:r w:rsidR="00537574" w:rsidRPr="00537574">
            <w:rPr>
              <w:rFonts w:cs="Times New Roman"/>
              <w:color w:val="000000"/>
              <w:lang w:val="en-US"/>
            </w:rPr>
            <w:t xml:space="preserve"> et al. (2021)</w:t>
          </w:r>
        </w:sdtContent>
      </w:sdt>
      <w:r w:rsidRPr="00E975EC">
        <w:rPr>
          <w:lang w:val="en-US"/>
        </w:rPr>
        <w:t>, the Min-Max normalized score for each dimension (Economic, Environmental, Social) was multiplied by its corresponding Shannon entropy weight prior to the analysis.</w:t>
      </w:r>
    </w:p>
    <w:p w14:paraId="45ABDDA0" w14:textId="7F238329" w:rsidR="00E975EC" w:rsidRPr="00E975EC" w:rsidRDefault="00000000" w:rsidP="00E975EC">
      <w:pPr>
        <w:spacing w:before="0" w:after="240"/>
        <w:rPr>
          <w:lang w:val="en-US"/>
        </w:rPr>
      </w:pPr>
      <m:oMathPara>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weighted</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norm</m:t>
              </m:r>
            </m:sub>
          </m:sSub>
          <m:r>
            <m:rPr>
              <m:sty m:val="p"/>
            </m:rP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ctrlPr>
                <w:rPr>
                  <w:rFonts w:ascii="Cambria Math" w:hAnsi="Cambria Math"/>
                  <w:lang w:val="en-US"/>
                </w:rPr>
              </m:ctrlPr>
            </m:e>
            <m:sub>
              <m:r>
                <w:rPr>
                  <w:rFonts w:ascii="Cambria Math" w:hAnsi="Cambria Math"/>
                  <w:lang w:val="en-US"/>
                </w:rPr>
                <m:t>entropy</m:t>
              </m:r>
            </m:sub>
          </m:sSub>
          <m:r>
            <m:rPr>
              <m:sty m:val="p"/>
            </m:rPr>
            <w:rPr>
              <w:rFonts w:ascii="Cambria Math" w:eastAsia="Times New Roman" w:hAnsi="Cambria Math" w:cs="Times New Roman"/>
              <w:lang w:val="en-US"/>
            </w:rPr>
            <m:t> </m:t>
          </m:r>
          <m:r>
            <m:rPr>
              <m:nor/>
            </m:rPr>
            <w:rPr>
              <w:rFonts w:ascii="Cambria Math" w:eastAsia="Times New Roman" w:hAnsi="Cambria Math" w:cs="Times New Roman"/>
              <w:lang w:val="en-US"/>
            </w:rPr>
            <m:t>(Eq. 5)</m:t>
          </m:r>
        </m:oMath>
      </m:oMathPara>
    </w:p>
    <w:p w14:paraId="6D62194A" w14:textId="78CBEA38" w:rsidR="00E975EC" w:rsidRDefault="00E975EC" w:rsidP="00E975EC">
      <w:pPr>
        <w:spacing w:before="0" w:after="240"/>
        <w:rPr>
          <w:lang w:val="en-US"/>
        </w:rPr>
      </w:pPr>
      <w:r w:rsidRPr="00E975EC">
        <w:rPr>
          <w:lang w:val="en-US"/>
        </w:rPr>
        <w:t xml:space="preserve">We then applied Ward’s minimum-variance criterion for the linkage method. Ward’s method is theoretically paired with Euclidean geometry and minimizes the increase in the total within-cluster sum of squares at each merge </w:t>
      </w:r>
      <w:sdt>
        <w:sdtPr>
          <w:rPr>
            <w:rFonts w:cs="Times New Roman"/>
            <w:color w:val="000000"/>
            <w:lang w:val="en-US"/>
          </w:rPr>
          <w:tag w:val="MENDELEY_CITATION_v3_eyJjaXRhdGlvbklEIjoiTUVOREVMRVlfQ0lUQVRJT05fOWMzZWNmYmMtYzVkMC00ZTNiLWI2YTgtMzczMTNhNDI0ZjBjIiwicHJvcGVydGllcyI6eyJub3RlSW5kZXgiOjB9LCJpc0VkaXRlZCI6ZmFsc2UsIm1hbnVhbE92ZXJyaWRlIjp7ImlzTWFudWFsbHlPdmVycmlkZGVuIjpmYWxzZSwiY2l0ZXByb2NUZXh0IjoiKFdhcmQsIDE5NjMpIiwibWFudWFsT3ZlcnJpZGVUZXh0IjoiIn0sImNpdGF0aW9uSXRlbXMiOlt7ImlkIjoiOWE1YjBkYmYtMGFlYS0zNjI0LWFkOWMtNjNkMzc2NzUxYzE2IiwiaXRlbURhdGEiOnsidHlwZSI6ImFydGljbGUtam91cm5hbCIsImlkIjoiOWE1YjBkYmYtMGFlYS0zNjI0LWFkOWMtNjNkMzc2NzUxYzE2IiwidGl0bGUiOiJIaWVyYXJjaGljYWwgR3JvdXBpbmcgdG8gT3B0aW1pemUgYW4gT2JqZWN0aXZlIEZ1bmN0aW9uIiwiYXV0aG9yIjpbeyJmYW1pbHkiOiJXYXJkIiwiZ2l2ZW4iOiJKb2UgSC4iLCJwYXJzZS1uYW1lcyI6ZmFsc2UsImRyb3BwaW5nLXBhcnRpY2xlIjoiIiwibm9uLWRyb3BwaW5nLXBhcnRpY2xlIjoiIn1dLCJjb250YWluZXItdGl0bGUiOiJKb3VybmFsIG9mIHRoZSBBbWVyaWNhbiBTdGF0aXN0aWNhbCBBc3NvY2lhdGlvbiIsIkRPSSI6IjEwLjEwODAvMDE2MjE0NTkuMTk2My4xMDUwMDg0NSIsIklTU04iOiIxNTM3Mjc0WCIsImlzc3VlZCI6eyJkYXRlLXBhcnRzIjpbWzE5NjNdXX0sImFic3RyYWN0IjoiQSBwcm9jZWR1cmUgZm9yIGZvcm1pbmcgaGllcmFyY2hpY2FsIGdyb3VwcyBvZiBtdXR1YWxseSBleGNsdXNpdmUgc3Vic2V0cywgZWFjaCBvZiB3aGljaCBoYXMgbWVtYmVycyB0aGF0IGFyZSBtYXhpbWFsbHkgc2ltaWxhciB3aXRoIHJlc3BlY3QgdG8gc3BlY2lmaWVkIGNoYXJhY3RlcmlzdGljcywgaXMgc3VnZ2VzdGVkIGZvciB1c2UgaW4gbGFyZ2Utc2NhbGUgKG4gPiAxMDApIHN0dWRpZXMgd2hlbiBhIHByZWNpc2Ugb3B0aW1hbCBzb2x1dGlvbiBmb3IgYSBzcGVjaWZpZWQgbnVtYmVyIG9mIGdyb3VwcyBpcyBub3QgcHJhY3RpY2FsLiBHaXZlbiBuIHNldHMsIHRoaXMgcHJvY2VkdXJlIHBlcm1pdHMgdGhlaXIgcmVkdWN0aW9uIHRvIG4g4oiSIDEgbXV0dWFsbHkgZXhjbHVzaXZlIHNldHMgYnkgY29uc2lkZXJpbmcgdGhlIHVuaW9uIG9mIGFsbCBwb3NzaWJsZSBuKG4g4oiSIDEpLzIgcGFpcnMgYW5kIHNlbGVjdGluZyBhIHVuaW9uIGhhdmluZyBhIG1heGltYWwgdmFsdWUgZm9yIHRoZSBmdW5jdGlvbmFsIHJlbGF0aW9uLCBvciBvYmplY3RpdmUgZnVuY3Rpb24sIHRoYXQgcmVmbGVjdHMgdGhlIGNyaXRlcmlvbiBjaG9zZW4gYnkgdGhlIGludmVzdGlnYXRvci4gQnkgcmVwZWF0aW5nIHRoaXMgcHJvY2VzcyB1bnRpbCBvbmx5IG9uZSBncm91cCByZW1haW5zLCB0aGUgY29tcGxldGUgaGllcmFyY2hpY2FsIHN0cnVjdHVyZSBhbmQgYSBxdWFudGl0YXRpdmUgZXN0aW1hdGUgb2YgdGhlIGxvc3MgYXNzb2NpYXRlZCB3aXRoIGVhY2ggc3RhZ2UgaW4gdGhlIGdyb3VwaW5nIGNhbiBiZSBvYnRhaW5lZC4gQSBnZW5lcmFsIGZsb3djaGFydCBoZWxwZnVsIGluIGNvbXB1dGVyIHByb2dyYW1taW5nIGFuZCBhIG51bWVyaWNhbCBleGFtcGxlIGFyZSBpbmNsdWRlZC4gwqkgVGF5bG9yICYgRnJhbmNpcyBHcm91cCwgTExDLiIsImlzc3VlIjoiMzAxIiwidm9sdW1lIjoiNTgiLCJjb250YWluZXItdGl0bGUtc2hvcnQiOiJKLiBBbS4gU3RhdC4gQXNzb2MuIn0sImlzVGVtcG9yYXJ5IjpmYWxzZX1dfQ=="/>
          <w:id w:val="-1707559412"/>
          <w:placeholder>
            <w:docPart w:val="E2658B7F4A80417498B70CDA8C40539C"/>
          </w:placeholder>
        </w:sdtPr>
        <w:sdtContent>
          <w:r w:rsidR="00537574" w:rsidRPr="00537574">
            <w:rPr>
              <w:rFonts w:cs="Times New Roman"/>
              <w:color w:val="000000"/>
              <w:lang w:val="en-US"/>
            </w:rPr>
            <w:t>(Ward, 1963)</w:t>
          </w:r>
        </w:sdtContent>
      </w:sdt>
      <w:r w:rsidRPr="00E975EC">
        <w:rPr>
          <w:lang w:val="en-US"/>
        </w:rPr>
        <w:t>. By operating on the weighted matrix, this approach produces compact, variance-coherent clusters that reflect both the magnitude of performance and the structural importance of each dimension.</w:t>
      </w:r>
    </w:p>
    <w:p w14:paraId="6E58CEE1" w14:textId="702D7E02" w:rsidR="00095934" w:rsidRPr="00095934" w:rsidRDefault="00095934" w:rsidP="00095934">
      <w:pPr>
        <w:spacing w:before="0" w:after="240"/>
        <w:rPr>
          <w:lang w:val="en-US"/>
        </w:rPr>
      </w:pPr>
      <w:r w:rsidRPr="00095934">
        <w:rPr>
          <w:lang w:val="en-US"/>
        </w:rPr>
        <w:t>The optimal number of clusters (</w:t>
      </w:r>
      <m:oMath>
        <m:r>
          <w:rPr>
            <w:rFonts w:ascii="Cambria Math" w:hAnsi="Cambria Math"/>
            <w:lang w:val="en-US"/>
          </w:rPr>
          <m:t>k</m:t>
        </m:r>
      </m:oMath>
      <w:r w:rsidR="00805B6D">
        <w:rPr>
          <w:lang w:val="en-US"/>
        </w:rPr>
        <w:t>)</w:t>
      </w:r>
      <w:r w:rsidRPr="00095934">
        <w:rPr>
          <w:lang w:val="en-US"/>
        </w:rPr>
        <w:t xml:space="preserve"> was determined rigorously via the Gap Statistic </w:t>
      </w:r>
      <w:sdt>
        <w:sdtPr>
          <w:rPr>
            <w:rFonts w:cs="Times New Roman"/>
            <w:color w:val="000000"/>
            <w:lang w:val="en-US"/>
          </w:rPr>
          <w:tag w:val="MENDELEY_CITATION_v3_eyJjaXRhdGlvbklEIjoiTUVOREVMRVlfQ0lUQVRJT05fNGU0ZTVkZDctOWM2Yy00MTA1LWI4MWQtMGU2YjcxMzg2Yzk1IiwicHJvcGVydGllcyI6eyJub3RlSW5kZXgiOjB9LCJpc0VkaXRlZCI6ZmFsc2UsIm1hbnVhbE92ZXJyaWRlIjp7ImlzTWFudWFsbHlPdmVycmlkZGVuIjpmYWxzZSwiY2l0ZXByb2NUZXh0IjoiKFRpYnNoaXJhbmkgZXQgYWwuLCAyMDAxKSIsIm1hbnVhbE92ZXJyaWRlVGV4dCI6IiJ9LCJjaXRhdGlvbkl0ZW1zIjpbeyJpZCI6IjAwNjE2ODU0LWUwZmEtM2EwOC1iODE4LTE3ZTUyMzg0OTY0ZCIsIml0ZW1EYXRhIjp7InR5cGUiOiJhcnRpY2xlLWpvdXJuYWwiLCJpZCI6IjAwNjE2ODU0LWUwZmEtM2EwOC1iODE4LTE3ZTUyMzg0OTY0ZCIsInRpdGxlIjoiRXN0aW1hdGluZyB0aGUgTnVtYmVyIG9mIENsdXN0ZXJzIGluIGEgRGF0YSBTZXQgVmlhIHRoZSBHYXAgU3RhdGlzdGljIiwiYXV0aG9yIjpbeyJmYW1pbHkiOiJUaWJzaGlyYW5pIiwiZ2l2ZW4iOiJSb2JlcnQiLCJwYXJzZS1uYW1lcyI6ZmFsc2UsImRyb3BwaW5nLXBhcnRpY2xlIjoiIiwibm9uLWRyb3BwaW5nLXBhcnRpY2xlIjoiIn0seyJmYW1pbHkiOiJXYWx0aGVyIiwiZ2l2ZW4iOiJHdWVudGhlciIsInBhcnNlLW5hbWVzIjpmYWxzZSwiZHJvcHBpbmctcGFydGljbGUiOiIiLCJub24tZHJvcHBpbmctcGFydGljbGUiOiIifSx7ImZhbWlseSI6Ikhhc3RpZSIsImdpdmVuIjoiVHJldm9yIiwicGFyc2UtbmFtZXMiOmZhbHNlLCJkcm9wcGluZy1wYXJ0aWNsZSI6IiIsIm5vbi1kcm9wcGluZy1wYXJ0aWNsZSI6IiJ9XSwiY29udGFpbmVyLXRpdGxlIjoiSm91cm5hbCBvZiB0aGUgUm95YWwgU3RhdGlzdGljYWwgU29jaWV0eSBTZXJpZXMgQjogU3RhdGlzdGljYWwgTWV0aG9kb2xvZ3kiLCJET0kiOiIxMC4xMTExLzE0NjctOTg2OC4wMDI5MyIsIklTU04iOiIxMzY5LTc0MTIiLCJpc3N1ZWQiOnsiZGF0ZS1wYXJ0cyI6W1syMDAxLDcsMV1dfSwicGFnZSI6IjQxMS00MjMiLCJhYnN0cmFjdCI6IjxwPldlIHByb3Bvc2UgYSBtZXRob2QgKHRoZSDigJhnYXAgc3RhdGlzdGlj4oCZKSBmb3IgZXN0aW1hdGluZyB0aGUgbnVtYmVyIG9mIGNsdXN0ZXJzIChncm91cHMpIGluIGEgc2V0IG9mIGRhdGEuIFRoZSB0ZWNobmlxdWUgdXNlcyB0aGUgb3V0cHV0IG9mIGFueSBjbHVzdGVyaW5nIGFsZ29yaXRobSAoZS5nLiBLLW1lYW5zIG9yIGhpZXJhcmNoaWNhbCksIGNvbXBhcmluZyB0aGUgY2hhbmdlIGluIHdpdGhpbi1jbHVzdGVyIGRpc3BlcnNpb24gd2l0aCB0aGF0IGV4cGVjdGVkIHVuZGVyIGFuIGFwcHJvcHJpYXRlIHJlZmVyZW5jZSBudWxsIGRpc3RyaWJ1dGlvbi4gU29tZSB0aGVvcnkgaXMgZGV2ZWxvcGVkIGZvciB0aGUgcHJvcG9zYWwgYW5kIGEgc2ltdWxhdGlvbiBzdHVkeSBzaG93cyB0aGF0IHRoZSBnYXAgc3RhdGlzdGljIHVzdWFsbHkgb3V0cGVyZm9ybXMgb3RoZXIgbWV0aG9kcyB0aGF0IGhhdmUgYmVlbiBwcm9wb3NlZCBpbiB0aGUgbGl0ZXJhdHVyZS48L3A+IiwiaXNzdWUiOiIyIiwidm9sdW1lIjoiNjMiLCJjb250YWluZXItdGl0bGUtc2hvcnQiOiJKLiBSLiBTdGF0LiBTb2MuIFNlcmllcyBCIFN0YXQuIE1ldGhvZG9sLiJ9LCJpc1RlbXBvcmFyeSI6ZmFsc2V9XX0="/>
          <w:id w:val="-624624899"/>
          <w:placeholder>
            <w:docPart w:val="6D6299A75E6048C0B360C69EAEC14A01"/>
          </w:placeholder>
        </w:sdtPr>
        <w:sdtContent>
          <w:r w:rsidR="00537574" w:rsidRPr="00537574">
            <w:rPr>
              <w:rFonts w:cs="Times New Roman"/>
              <w:color w:val="000000"/>
              <w:lang w:val="en-US"/>
            </w:rPr>
            <w:t>(</w:t>
          </w:r>
          <w:proofErr w:type="spellStart"/>
          <w:r w:rsidR="00537574" w:rsidRPr="00537574">
            <w:rPr>
              <w:rFonts w:cs="Times New Roman"/>
              <w:color w:val="000000"/>
              <w:lang w:val="en-US"/>
            </w:rPr>
            <w:t>Tibshirani</w:t>
          </w:r>
          <w:proofErr w:type="spellEnd"/>
          <w:r w:rsidR="00537574" w:rsidRPr="00537574">
            <w:rPr>
              <w:rFonts w:cs="Times New Roman"/>
              <w:color w:val="000000"/>
              <w:lang w:val="en-US"/>
            </w:rPr>
            <w:t xml:space="preserve"> et al., 2001)</w:t>
          </w:r>
        </w:sdtContent>
      </w:sdt>
      <w:r w:rsidRPr="00095934">
        <w:rPr>
          <w:lang w:val="en-US"/>
        </w:rPr>
        <w:t xml:space="preserve">, which compares the total within-intra-cluster variation for different values of </w:t>
      </w:r>
      <m:oMath>
        <m:r>
          <w:rPr>
            <w:rFonts w:ascii="Cambria Math" w:hAnsi="Cambria Math"/>
            <w:lang w:val="en-US"/>
          </w:rPr>
          <m:t>k</m:t>
        </m:r>
      </m:oMath>
      <w:r w:rsidRPr="00095934">
        <w:rPr>
          <w:lang w:val="en-US"/>
        </w:rPr>
        <w:t xml:space="preserve"> with their expected values under a null reference distribution of the data.</w:t>
      </w:r>
      <w:r w:rsidR="00396720">
        <w:rPr>
          <w:lang w:val="en-US"/>
        </w:rPr>
        <w:t xml:space="preserve"> </w:t>
      </w:r>
      <w:r w:rsidR="00396720" w:rsidRPr="00396720">
        <w:rPr>
          <w:lang w:val="en-US"/>
        </w:rPr>
        <w:t>The selection followed the "1-Standard-Error" Rule:</w:t>
      </w:r>
    </w:p>
    <w:p w14:paraId="2F3DEA9F" w14:textId="77777777" w:rsidR="00095934" w:rsidRPr="00E975EC" w:rsidRDefault="00095934" w:rsidP="00E975EC">
      <w:pPr>
        <w:spacing w:before="0" w:after="240"/>
        <w:rPr>
          <w:lang w:val="en-US"/>
        </w:rPr>
      </w:pPr>
    </w:p>
    <w:p w14:paraId="0E0C2325" w14:textId="5EC468FA" w:rsidR="26EBA45C" w:rsidRDefault="00981657" w:rsidP="7F503041">
      <w:pPr>
        <w:pStyle w:val="Prrafodelista"/>
        <w:numPr>
          <w:ilvl w:val="0"/>
          <w:numId w:val="2"/>
        </w:numPr>
        <w:spacing w:before="240" w:after="240"/>
        <w:rPr>
          <w:rFonts w:eastAsia="Times New Roman" w:cs="Times New Roman"/>
          <w:lang w:val="en-US"/>
        </w:rPr>
      </w:pPr>
      <w:r w:rsidRPr="00981657">
        <w:rPr>
          <w:rFonts w:eastAsia="Times New Roman" w:cs="Times New Roman"/>
          <w:lang w:val="en-US"/>
        </w:rPr>
        <w:t xml:space="preserve">The algorithm calculated the Gap value for </w:t>
      </w:r>
      <m:oMath>
        <m:r>
          <w:rPr>
            <w:rFonts w:ascii="Cambria Math" w:eastAsia="Times New Roman" w:hAnsi="Cambria Math" w:cs="Times New Roman"/>
            <w:lang w:val="en-US"/>
          </w:rPr>
          <m:t>k</m:t>
        </m:r>
        <m:r>
          <m:rPr>
            <m:sty m:val="p"/>
          </m:rPr>
          <w:rPr>
            <w:rFonts w:ascii="Cambria Math" w:eastAsia="Times New Roman" w:hAnsi="Cambria Math" w:cs="Times New Roman"/>
            <w:lang w:val="en-US"/>
          </w:rPr>
          <m:t>∈</m:t>
        </m:r>
        <m:d>
          <m:dPr>
            <m:begChr m:val="["/>
            <m:endChr m:val="]"/>
            <m:ctrlPr>
              <w:rPr>
                <w:rFonts w:ascii="Cambria Math" w:eastAsia="Times New Roman" w:hAnsi="Cambria Math" w:cs="Times New Roman"/>
                <w:i/>
                <w:lang w:val="en-US"/>
              </w:rPr>
            </m:ctrlPr>
          </m:dPr>
          <m:e>
            <m:r>
              <w:rPr>
                <w:rFonts w:ascii="Cambria Math" w:eastAsia="Times New Roman" w:hAnsi="Cambria Math" w:cs="Times New Roman"/>
                <w:lang w:val="en-US"/>
              </w:rPr>
              <m:t>2,10</m:t>
            </m:r>
          </m:e>
        </m:d>
      </m:oMath>
      <w:r w:rsidRPr="00981657">
        <w:rPr>
          <w:rFonts w:eastAsia="Times New Roman" w:cs="Times New Roman"/>
          <w:lang w:val="en-US"/>
        </w:rPr>
        <w:t>.</w:t>
      </w:r>
      <w:r>
        <w:rPr>
          <w:rFonts w:eastAsia="Times New Roman" w:cs="Times New Roman"/>
          <w:lang w:val="en-US"/>
        </w:rPr>
        <w:t xml:space="preserve"> </w:t>
      </w:r>
    </w:p>
    <w:p w14:paraId="5AEC5C6B" w14:textId="16BECF91" w:rsidR="26EBA45C" w:rsidRDefault="00537574" w:rsidP="00537574">
      <w:pPr>
        <w:pStyle w:val="Prrafodelista"/>
        <w:numPr>
          <w:ilvl w:val="0"/>
          <w:numId w:val="2"/>
        </w:numPr>
        <w:spacing w:before="240" w:after="240"/>
        <w:rPr>
          <w:rFonts w:eastAsia="Times New Roman" w:cs="Times New Roman"/>
          <w:lang w:val="en-US"/>
        </w:rPr>
      </w:pPr>
      <w:r w:rsidRPr="00537574">
        <w:rPr>
          <w:rFonts w:eastAsia="Times New Roman" w:cs="Times New Roman"/>
          <w:lang w:val="en-US"/>
        </w:rPr>
        <w:t xml:space="preserve">The optimal </w:t>
      </w:r>
      <m:oMath>
        <m:r>
          <w:rPr>
            <w:rFonts w:ascii="Cambria Math" w:eastAsia="Times New Roman" w:hAnsi="Cambria Math" w:cs="Times New Roman"/>
            <w:lang w:val="en-US"/>
          </w:rPr>
          <m:t>k</m:t>
        </m:r>
      </m:oMath>
      <w:r w:rsidRPr="00537574">
        <w:rPr>
          <w:rFonts w:eastAsia="Times New Roman" w:cs="Times New Roman"/>
          <w:lang w:val="en-US"/>
        </w:rPr>
        <w:t xml:space="preserve"> was identified as the smallest integer where the Gap statistic was no longer significantly outperformed by the next larger </w:t>
      </w:r>
      <m:oMath>
        <m:r>
          <w:rPr>
            <w:rFonts w:ascii="Cambria Math" w:eastAsia="Times New Roman" w:hAnsi="Cambria Math" w:cs="Times New Roman"/>
            <w:lang w:val="en-US"/>
          </w:rPr>
          <m:t>k</m:t>
        </m:r>
      </m:oMath>
      <w:r w:rsidRPr="00537574">
        <w:rPr>
          <w:rFonts w:eastAsia="Times New Roman" w:cs="Times New Roman"/>
          <w:lang w:val="en-US"/>
        </w:rPr>
        <w:t xml:space="preserve"> </w:t>
      </w:r>
      <w:r w:rsidRPr="00537574">
        <w:rPr>
          <w:rFonts w:eastAsia="Times New Roman" w:cs="Times New Roman"/>
          <w:lang w:val="en-US"/>
        </w:rPr>
        <w:lastRenderedPageBreak/>
        <w:t xml:space="preserve">(i.e., </w:t>
      </w:r>
      <m:oMath>
        <m:r>
          <w:rPr>
            <w:rFonts w:ascii="Cambria Math" w:eastAsia="Times New Roman" w:hAnsi="Cambria Math" w:cs="Times New Roman"/>
            <w:lang w:val="en-US"/>
          </w:rPr>
          <m:t>Gap</m:t>
        </m:r>
        <m:d>
          <m:dPr>
            <m:ctrlPr>
              <w:rPr>
                <w:rFonts w:ascii="Cambria Math" w:eastAsia="Times New Roman" w:hAnsi="Cambria Math" w:cs="Times New Roman"/>
                <w:i/>
                <w:lang w:val="en-US"/>
              </w:rPr>
            </m:ctrlPr>
          </m:dPr>
          <m:e>
            <m:r>
              <w:rPr>
                <w:rFonts w:ascii="Cambria Math" w:eastAsia="Times New Roman" w:hAnsi="Cambria Math" w:cs="Times New Roman"/>
                <w:lang w:val="en-US"/>
              </w:rPr>
              <m:t>k</m:t>
            </m:r>
          </m:e>
        </m:d>
        <m:r>
          <m:rPr>
            <m:sty m:val="p"/>
          </m:rPr>
          <w:rPr>
            <w:rFonts w:ascii="Cambria Math" w:eastAsia="Times New Roman" w:hAnsi="Cambria Math" w:cs="Times New Roman"/>
            <w:lang w:val="en-US"/>
          </w:rPr>
          <m:t>≥</m:t>
        </m:r>
        <m:r>
          <w:rPr>
            <w:rFonts w:ascii="Cambria Math" w:eastAsia="Times New Roman" w:hAnsi="Cambria Math" w:cs="Times New Roman"/>
            <w:lang w:val="en-US"/>
          </w:rPr>
          <m:t>Gap</m:t>
        </m:r>
        <m:d>
          <m:dPr>
            <m:ctrlPr>
              <w:rPr>
                <w:rFonts w:ascii="Cambria Math" w:eastAsia="Times New Roman" w:hAnsi="Cambria Math" w:cs="Times New Roman"/>
                <w:i/>
                <w:lang w:val="en-US"/>
              </w:rPr>
            </m:ctrlPr>
          </m:dPr>
          <m:e>
            <m:r>
              <w:rPr>
                <w:rFonts w:ascii="Cambria Math" w:eastAsia="Times New Roman" w:hAnsi="Cambria Math" w:cs="Times New Roman"/>
                <w:lang w:val="en-US"/>
              </w:rPr>
              <m:t>k+1</m:t>
            </m:r>
          </m:e>
        </m:d>
        <m:r>
          <w:rPr>
            <w:rFonts w:ascii="Cambria Math" w:eastAsia="Times New Roman" w:hAnsi="Cambria Math" w:cs="Times New Roman"/>
            <w:lang w:val="en-US"/>
          </w:rPr>
          <m:t>-</m:t>
        </m:r>
        <m:sSub>
          <m:sSubPr>
            <m:ctrlPr>
              <w:rPr>
                <w:rFonts w:ascii="Cambria Math" w:eastAsia="Times New Roman" w:hAnsi="Cambria Math" w:cs="Times New Roman"/>
                <w:i/>
                <w:lang w:val="en-US"/>
              </w:rPr>
            </m:ctrlPr>
          </m:sSubPr>
          <m:e>
            <m:r>
              <w:rPr>
                <w:rFonts w:ascii="Cambria Math" w:eastAsia="Times New Roman" w:hAnsi="Cambria Math" w:cs="Times New Roman"/>
                <w:lang w:val="en-US"/>
              </w:rPr>
              <m:t>s</m:t>
            </m:r>
          </m:e>
          <m:sub>
            <m:r>
              <w:rPr>
                <w:rFonts w:ascii="Cambria Math" w:eastAsia="Times New Roman" w:hAnsi="Cambria Math" w:cs="Times New Roman"/>
                <w:lang w:val="en-US"/>
              </w:rPr>
              <m:t>k+1</m:t>
            </m:r>
          </m:sub>
        </m:sSub>
      </m:oMath>
      <w:r w:rsidRPr="00537574">
        <w:rPr>
          <w:rFonts w:eastAsia="Times New Roman" w:cs="Times New Roman"/>
          <w:lang w:val="en-US"/>
        </w:rPr>
        <w:t>). This criterion ensures a parsimonious partition that effectively separates distinct country profiles without overfitting.</w:t>
      </w:r>
    </w:p>
    <w:p w14:paraId="4F4AF1E5" w14:textId="6D9D089D" w:rsidR="26EBA45C" w:rsidRPr="00EE2AF4" w:rsidRDefault="26EBA45C" w:rsidP="00F37965">
      <w:pPr>
        <w:pStyle w:val="Ttulo2"/>
        <w:rPr>
          <w:lang w:val="en-US"/>
        </w:rPr>
      </w:pPr>
      <w:r w:rsidRPr="7F503041">
        <w:rPr>
          <w:lang w:val="en-US"/>
        </w:rPr>
        <w:t>Descriptive Benchmarking</w:t>
      </w:r>
    </w:p>
    <w:p w14:paraId="3345EF0A" w14:textId="024A9171" w:rsidR="26EBA45C" w:rsidRPr="00EE2AF4" w:rsidRDefault="26EBA45C" w:rsidP="7F503041">
      <w:pPr>
        <w:spacing w:before="0" w:after="240"/>
        <w:rPr>
          <w:lang w:val="en-US"/>
        </w:rPr>
      </w:pPr>
      <w:r w:rsidRPr="7F503041">
        <w:rPr>
          <w:rFonts w:eastAsia="Times New Roman" w:cs="Times New Roman"/>
          <w:lang w:val="en-US"/>
        </w:rPr>
        <w:t>For descriptive benchmarking within the EU subset, continuous scores were mapped into standard-deviation bands relative to the sample mean (</w:t>
      </w:r>
      <m:oMath>
        <m:r>
          <m:rPr>
            <m:sty m:val="p"/>
          </m:rPr>
          <w:rPr>
            <w:rFonts w:ascii="Cambria Math" w:eastAsia="Times New Roman" w:hAnsi="Cambria Math" w:cs="Times New Roman"/>
            <w:lang w:val="en-US"/>
          </w:rPr>
          <m:t>μ</m:t>
        </m:r>
      </m:oMath>
      <w:r w:rsidRPr="7F503041">
        <w:rPr>
          <w:rFonts w:eastAsia="Times New Roman" w:cs="Times New Roman"/>
          <w:lang w:val="en-US"/>
        </w:rPr>
        <w:t>) and dispersion (</w:t>
      </w:r>
      <m:oMath>
        <m:r>
          <m:rPr>
            <m:sty m:val="p"/>
          </m:rPr>
          <w:rPr>
            <w:rFonts w:ascii="Cambria Math" w:eastAsia="Times New Roman" w:hAnsi="Cambria Math" w:cs="Times New Roman"/>
            <w:lang w:val="en-US"/>
          </w:rPr>
          <m:t>σ</m:t>
        </m:r>
      </m:oMath>
      <w:r w:rsidRPr="7F503041">
        <w:rPr>
          <w:rFonts w:eastAsia="Times New Roman" w:cs="Times New Roman"/>
          <w:lang w:val="en-US"/>
        </w:rPr>
        <w:t>). Following the approach documented in recent analyses of spatial heterogeneity (Nicholas &amp; Scown, 2024), countries were classified into four tiers:</w:t>
      </w:r>
    </w:p>
    <w:p w14:paraId="43E40DE0" w14:textId="0C94B0F0" w:rsidR="26EBA45C" w:rsidRDefault="00C30463" w:rsidP="7F503041">
      <w:pPr>
        <w:pStyle w:val="Prrafodelista"/>
        <w:numPr>
          <w:ilvl w:val="0"/>
          <w:numId w:val="1"/>
        </w:numPr>
        <w:spacing w:before="240" w:after="240"/>
        <w:rPr>
          <w:rFonts w:eastAsia="Times New Roman" w:cs="Times New Roman"/>
          <w:lang w:val="en-US"/>
        </w:rPr>
      </w:pPr>
      <w:r>
        <w:rPr>
          <w:rFonts w:eastAsia="Times New Roman" w:cs="Times New Roman"/>
          <w:b/>
          <w:bCs/>
          <w:lang w:val="en-US"/>
        </w:rPr>
        <w:t>High</w:t>
      </w:r>
      <w:r w:rsidR="26EBA45C" w:rsidRPr="7F503041">
        <w:rPr>
          <w:rFonts w:eastAsia="Times New Roman" w:cs="Times New Roman"/>
          <w:b/>
          <w:bCs/>
          <w:lang w:val="en-US"/>
        </w:rPr>
        <w:t>:</w:t>
      </w:r>
      <w:r w:rsidR="26EBA45C" w:rsidRPr="7F503041">
        <w:rPr>
          <w:rFonts w:eastAsia="Times New Roman" w:cs="Times New Roman"/>
          <w:lang w:val="en-US"/>
        </w:rPr>
        <w:t xml:space="preserve"> </w:t>
      </w:r>
      <m:oMath>
        <m:r>
          <w:rPr>
            <w:rFonts w:ascii="Cambria Math" w:eastAsia="Times New Roman" w:hAnsi="Cambria Math" w:cs="Times New Roman"/>
            <w:lang w:val="en-US"/>
          </w:rPr>
          <m:t xml:space="preserve">x &gt; </m:t>
        </m:r>
        <m:r>
          <m:rPr>
            <m:sty m:val="p"/>
          </m:rPr>
          <w:rPr>
            <w:rFonts w:ascii="Cambria Math" w:eastAsia="Times New Roman" w:hAnsi="Cambria Math" w:cs="Times New Roman"/>
            <w:lang w:val="en-US"/>
          </w:rPr>
          <m:t>μ</m:t>
        </m:r>
        <m:r>
          <w:rPr>
            <w:rFonts w:ascii="Cambria Math" w:eastAsia="Times New Roman" w:hAnsi="Cambria Math" w:cs="Times New Roman"/>
            <w:lang w:val="en-US"/>
          </w:rPr>
          <m:t xml:space="preserve">+ </m:t>
        </m:r>
        <m:r>
          <m:rPr>
            <m:sty m:val="p"/>
          </m:rPr>
          <w:rPr>
            <w:rFonts w:ascii="Cambria Math" w:eastAsia="Times New Roman" w:hAnsi="Cambria Math" w:cs="Times New Roman"/>
            <w:lang w:val="en-US"/>
          </w:rPr>
          <m:t>σ</m:t>
        </m:r>
      </m:oMath>
    </w:p>
    <w:p w14:paraId="68D03E3F" w14:textId="4322A41E" w:rsidR="26EBA45C" w:rsidRDefault="00C30463" w:rsidP="7F503041">
      <w:pPr>
        <w:pStyle w:val="Prrafodelista"/>
        <w:numPr>
          <w:ilvl w:val="0"/>
          <w:numId w:val="1"/>
        </w:numPr>
        <w:spacing w:before="240" w:after="240"/>
        <w:rPr>
          <w:rFonts w:eastAsia="Times New Roman" w:cs="Times New Roman"/>
          <w:lang w:val="en-US"/>
        </w:rPr>
      </w:pPr>
      <w:r>
        <w:rPr>
          <w:rFonts w:eastAsia="Times New Roman" w:cs="Times New Roman"/>
          <w:b/>
          <w:bCs/>
          <w:lang w:val="en-US"/>
        </w:rPr>
        <w:t>Medium-high</w:t>
      </w:r>
      <w:r w:rsidR="26EBA45C" w:rsidRPr="7F503041">
        <w:rPr>
          <w:rFonts w:eastAsia="Times New Roman" w:cs="Times New Roman"/>
          <w:b/>
          <w:bCs/>
          <w:lang w:val="en-US"/>
        </w:rPr>
        <w:t>:</w:t>
      </w:r>
      <w:r w:rsidR="26EBA45C" w:rsidRPr="7F503041">
        <w:rPr>
          <w:rFonts w:eastAsia="Times New Roman" w:cs="Times New Roman"/>
          <w:lang w:val="en-US"/>
        </w:rPr>
        <w:t xml:space="preserve"> </w:t>
      </w:r>
      <m:oMath>
        <m:r>
          <m:rPr>
            <m:sty m:val="p"/>
          </m:rPr>
          <w:rPr>
            <w:rFonts w:ascii="Cambria Math" w:eastAsia="Times New Roman" w:hAnsi="Cambria Math" w:cs="Times New Roman"/>
            <w:lang w:val="en-US"/>
          </w:rPr>
          <m:t>μ</m:t>
        </m:r>
        <m:r>
          <w:rPr>
            <w:rFonts w:ascii="Cambria Math" w:eastAsia="Times New Roman" w:hAnsi="Cambria Math" w:cs="Times New Roman"/>
            <w:lang w:val="en-US"/>
          </w:rPr>
          <m:t xml:space="preserve">&lt; x </m:t>
        </m:r>
        <m:r>
          <m:rPr>
            <m:sty m:val="p"/>
          </m:rPr>
          <w:rPr>
            <w:rFonts w:ascii="Cambria Math" w:eastAsia="Times New Roman" w:hAnsi="Cambria Math" w:cs="Times New Roman"/>
            <w:lang w:val="en-US"/>
          </w:rPr>
          <m:t>≤μ</m:t>
        </m:r>
        <m:r>
          <w:rPr>
            <w:rFonts w:ascii="Cambria Math" w:eastAsia="Times New Roman" w:hAnsi="Cambria Math" w:cs="Times New Roman"/>
            <w:lang w:val="en-US"/>
          </w:rPr>
          <m:t xml:space="preserve">+ </m:t>
        </m:r>
        <m:r>
          <m:rPr>
            <m:sty m:val="p"/>
          </m:rPr>
          <w:rPr>
            <w:rFonts w:ascii="Cambria Math" w:eastAsia="Times New Roman" w:hAnsi="Cambria Math" w:cs="Times New Roman"/>
            <w:lang w:val="en-US"/>
          </w:rPr>
          <m:t>σ</m:t>
        </m:r>
      </m:oMath>
    </w:p>
    <w:p w14:paraId="714F7CF9" w14:textId="16FD2F09" w:rsidR="26EBA45C" w:rsidRDefault="00C30463" w:rsidP="7F503041">
      <w:pPr>
        <w:pStyle w:val="Prrafodelista"/>
        <w:numPr>
          <w:ilvl w:val="0"/>
          <w:numId w:val="1"/>
        </w:numPr>
        <w:spacing w:before="240" w:after="240"/>
        <w:rPr>
          <w:rFonts w:eastAsia="Times New Roman" w:cs="Times New Roman"/>
          <w:lang w:val="en-US"/>
        </w:rPr>
      </w:pPr>
      <w:r>
        <w:rPr>
          <w:rFonts w:eastAsia="Times New Roman" w:cs="Times New Roman"/>
          <w:b/>
          <w:bCs/>
          <w:lang w:val="en-US"/>
        </w:rPr>
        <w:t>Medium-low</w:t>
      </w:r>
      <w:r w:rsidR="26EBA45C" w:rsidRPr="7F503041">
        <w:rPr>
          <w:rFonts w:eastAsia="Times New Roman" w:cs="Times New Roman"/>
          <w:b/>
          <w:bCs/>
          <w:lang w:val="en-US"/>
        </w:rPr>
        <w:t>:</w:t>
      </w:r>
      <w:r w:rsidR="26EBA45C" w:rsidRPr="7F503041">
        <w:rPr>
          <w:rFonts w:eastAsia="Times New Roman" w:cs="Times New Roman"/>
          <w:lang w:val="en-US"/>
        </w:rPr>
        <w:t xml:space="preserve"> </w:t>
      </w:r>
      <m:oMath>
        <m:r>
          <m:rPr>
            <m:sty m:val="p"/>
          </m:rPr>
          <w:rPr>
            <w:rFonts w:ascii="Cambria Math" w:eastAsia="Times New Roman" w:hAnsi="Cambria Math" w:cs="Times New Roman"/>
            <w:lang w:val="en-US"/>
          </w:rPr>
          <m:t>μ</m:t>
        </m:r>
        <m:r>
          <w:rPr>
            <w:rFonts w:ascii="Cambria Math" w:eastAsia="Times New Roman" w:hAnsi="Cambria Math" w:cs="Times New Roman"/>
            <w:lang w:val="en-US"/>
          </w:rPr>
          <m:t xml:space="preserve">- </m:t>
        </m:r>
        <m:r>
          <m:rPr>
            <m:sty m:val="p"/>
          </m:rPr>
          <w:rPr>
            <w:rFonts w:ascii="Cambria Math" w:eastAsia="Times New Roman" w:hAnsi="Cambria Math" w:cs="Times New Roman"/>
            <w:lang w:val="en-US"/>
          </w:rPr>
          <m:t>σ</m:t>
        </m:r>
        <m:r>
          <w:rPr>
            <w:rFonts w:ascii="Cambria Math" w:eastAsia="Times New Roman" w:hAnsi="Cambria Math" w:cs="Times New Roman"/>
            <w:lang w:val="en-US"/>
          </w:rPr>
          <m:t xml:space="preserve">&lt; x </m:t>
        </m:r>
        <m:r>
          <m:rPr>
            <m:sty m:val="p"/>
          </m:rPr>
          <w:rPr>
            <w:rFonts w:ascii="Cambria Math" w:eastAsia="Times New Roman" w:hAnsi="Cambria Math" w:cs="Times New Roman"/>
            <w:lang w:val="en-US"/>
          </w:rPr>
          <m:t>≤μ</m:t>
        </m:r>
      </m:oMath>
    </w:p>
    <w:p w14:paraId="4C437D4E" w14:textId="3F698090" w:rsidR="26EBA45C" w:rsidRDefault="00C30463" w:rsidP="7F503041">
      <w:pPr>
        <w:pStyle w:val="Prrafodelista"/>
        <w:numPr>
          <w:ilvl w:val="0"/>
          <w:numId w:val="1"/>
        </w:numPr>
        <w:spacing w:before="240" w:after="240"/>
        <w:rPr>
          <w:rFonts w:eastAsia="Times New Roman" w:cs="Times New Roman"/>
          <w:lang w:val="en-US"/>
        </w:rPr>
      </w:pPr>
      <w:r>
        <w:rPr>
          <w:rFonts w:eastAsia="Times New Roman" w:cs="Times New Roman"/>
          <w:b/>
          <w:bCs/>
          <w:lang w:val="en-US"/>
        </w:rPr>
        <w:t>Low</w:t>
      </w:r>
      <w:r w:rsidR="26EBA45C" w:rsidRPr="7F503041">
        <w:rPr>
          <w:rFonts w:eastAsia="Times New Roman" w:cs="Times New Roman"/>
          <w:b/>
          <w:bCs/>
          <w:lang w:val="en-US"/>
        </w:rPr>
        <w:t>:</w:t>
      </w:r>
      <w:r w:rsidR="26EBA45C" w:rsidRPr="7F503041">
        <w:rPr>
          <w:rFonts w:eastAsia="Times New Roman" w:cs="Times New Roman"/>
          <w:lang w:val="en-US"/>
        </w:rPr>
        <w:t xml:space="preserve"> </w:t>
      </w:r>
      <m:oMath>
        <m:r>
          <w:rPr>
            <w:rFonts w:ascii="Cambria Math" w:eastAsia="Times New Roman" w:hAnsi="Cambria Math" w:cs="Times New Roman"/>
            <w:lang w:val="en-US"/>
          </w:rPr>
          <m:t xml:space="preserve">x </m:t>
        </m:r>
        <m:r>
          <m:rPr>
            <m:sty m:val="p"/>
          </m:rPr>
          <w:rPr>
            <w:rFonts w:ascii="Cambria Math" w:eastAsia="Times New Roman" w:hAnsi="Cambria Math" w:cs="Times New Roman"/>
            <w:lang w:val="en-US"/>
          </w:rPr>
          <m:t>≤μ</m:t>
        </m:r>
        <m:r>
          <w:rPr>
            <w:rFonts w:ascii="Cambria Math" w:eastAsia="Times New Roman" w:hAnsi="Cambria Math" w:cs="Times New Roman"/>
            <w:lang w:val="en-US"/>
          </w:rPr>
          <m:t xml:space="preserve">- </m:t>
        </m:r>
        <m:r>
          <m:rPr>
            <m:sty m:val="p"/>
          </m:rPr>
          <w:rPr>
            <w:rFonts w:ascii="Cambria Math" w:eastAsia="Times New Roman" w:hAnsi="Cambria Math" w:cs="Times New Roman"/>
            <w:lang w:val="en-US"/>
          </w:rPr>
          <m:t>σ</m:t>
        </m:r>
      </m:oMath>
    </w:p>
    <w:p w14:paraId="5FC91301" w14:textId="71A202BC" w:rsidR="26EBA45C" w:rsidRPr="00EE2AF4" w:rsidRDefault="26EBA45C" w:rsidP="7F503041">
      <w:pPr>
        <w:spacing w:before="0" w:after="240"/>
        <w:rPr>
          <w:lang w:val="en-US"/>
        </w:rPr>
      </w:pPr>
      <w:r w:rsidRPr="7F503041">
        <w:rPr>
          <w:rFonts w:eastAsia="Times New Roman" w:cs="Times New Roman"/>
          <w:lang w:val="en-US"/>
        </w:rPr>
        <w:t>While this stratification aids policy communication, statistical inference in this study relies on the underlying continuous measures.</w:t>
      </w:r>
    </w:p>
    <w:p w14:paraId="0B585D19" w14:textId="77777777" w:rsidR="00C51A07" w:rsidRPr="00AE4405" w:rsidRDefault="00C51A07" w:rsidP="00395439">
      <w:pPr>
        <w:rPr>
          <w:lang w:val="en-US"/>
        </w:rPr>
      </w:pPr>
    </w:p>
    <w:p w14:paraId="5D35F9E7" w14:textId="41F6E609" w:rsidR="00395439" w:rsidRPr="00AE4405" w:rsidRDefault="00C51A07" w:rsidP="00C51A07">
      <w:pPr>
        <w:pStyle w:val="Ttulo1"/>
        <w:rPr>
          <w:lang w:val="en-US"/>
        </w:rPr>
      </w:pPr>
      <w:r w:rsidRPr="00AE4405">
        <w:rPr>
          <w:lang w:val="en-US"/>
        </w:rPr>
        <w:t>Results</w:t>
      </w:r>
    </w:p>
    <w:p w14:paraId="1B92E2E5" w14:textId="7AFDEEB5" w:rsidR="005E2917" w:rsidRDefault="00851D5A" w:rsidP="005E2917">
      <w:pPr>
        <w:rPr>
          <w:lang w:val="en-US"/>
        </w:rPr>
      </w:pPr>
      <w:r w:rsidRPr="00851D5A">
        <w:rPr>
          <w:lang w:val="en-US"/>
        </w:rPr>
        <w:t xml:space="preserve">Entropy-Based Feature Weighting </w:t>
      </w:r>
      <w:r w:rsidRPr="00AE4405">
        <w:rPr>
          <w:lang w:val="en-US"/>
        </w:rPr>
        <w:fldChar w:fldCharType="begin"/>
      </w:r>
      <w:r w:rsidRPr="00AE4405">
        <w:rPr>
          <w:lang w:val="en-US"/>
        </w:rPr>
        <w:instrText xml:space="preserve"> REF _Ref215562485 \h </w:instrText>
      </w:r>
      <w:r w:rsidRPr="00AE4405">
        <w:rPr>
          <w:lang w:val="en-US"/>
        </w:rPr>
      </w:r>
      <w:r w:rsidRPr="00AE4405">
        <w:rPr>
          <w:lang w:val="en-US"/>
        </w:rPr>
        <w:fldChar w:fldCharType="separate"/>
      </w:r>
      <w:r w:rsidR="00B61F22" w:rsidRPr="00AE4405">
        <w:rPr>
          <w:lang w:val="en-US"/>
        </w:rPr>
        <w:t xml:space="preserve">Figure </w:t>
      </w:r>
      <w:r w:rsidR="00B61F22">
        <w:rPr>
          <w:noProof/>
          <w:lang w:val="en-US"/>
        </w:rPr>
        <w:t>1</w:t>
      </w:r>
      <w:r w:rsidRPr="00AE4405">
        <w:rPr>
          <w:lang w:val="en-US"/>
        </w:rPr>
        <w:fldChar w:fldCharType="end"/>
      </w:r>
      <w:r w:rsidRPr="00AE4405">
        <w:rPr>
          <w:lang w:val="en-US"/>
        </w:rPr>
        <w:t xml:space="preserve"> </w:t>
      </w:r>
      <w:r w:rsidRPr="00851D5A">
        <w:rPr>
          <w:lang w:val="en-US"/>
        </w:rPr>
        <w:t xml:space="preserve"> illustrates the entropy-derived weighting structure for the economic sustainability indicators. The results reveal a highly asymmetric distribution, dominated by Total Subsidies to Farm Family Income (0.365) and </w:t>
      </w:r>
      <w:proofErr w:type="spellStart"/>
      <w:r w:rsidRPr="00851D5A">
        <w:rPr>
          <w:lang w:val="en-US"/>
        </w:rPr>
        <w:t>Labour</w:t>
      </w:r>
      <w:proofErr w:type="spellEnd"/>
      <w:r w:rsidRPr="00851D5A">
        <w:rPr>
          <w:lang w:val="en-US"/>
        </w:rPr>
        <w:t xml:space="preserve"> Productivity (0.329). Together, these two variables account for nearly 70% of the total informational relevance, indicating that cross-country </w:t>
      </w:r>
      <w:r>
        <w:rPr>
          <w:lang w:val="en-US"/>
        </w:rPr>
        <w:t xml:space="preserve">economic differentiation is primarily driven by </w:t>
      </w:r>
      <w:r w:rsidR="00B047B6">
        <w:rPr>
          <w:lang w:val="en-US"/>
        </w:rPr>
        <w:t>dependence on subsidies</w:t>
      </w:r>
      <w:r w:rsidRPr="00851D5A">
        <w:rPr>
          <w:lang w:val="en-US"/>
        </w:rPr>
        <w:t xml:space="preserve"> and labor efficiency. By contrast, Capital Productivity (0.196) offers a moderate contribution, while Net Farm Income (0.088) and Technical Efficiency (0.021) carry substantially lower weights. This suggests that while income levels and efficiency scores are relevant, they exhibit comparatively little variation across Member States compared to the structural divide in policy reliance and workforce productivity.</w:t>
      </w:r>
      <w:r w:rsidR="00150523" w:rsidRPr="00AE4405">
        <w:rPr>
          <w:lang w:val="en-US"/>
        </w:rPr>
        <w:t xml:space="preserve"> </w:t>
      </w:r>
    </w:p>
    <w:p w14:paraId="69FDB63F" w14:textId="0150326C" w:rsidR="002866E4" w:rsidRPr="00AE4405" w:rsidRDefault="002866E4" w:rsidP="005E2917">
      <w:pPr>
        <w:rPr>
          <w:lang w:val="en-US"/>
        </w:rPr>
      </w:pPr>
      <w:r w:rsidRPr="00AE4405">
        <w:rPr>
          <w:noProof/>
          <w:lang w:val="en-US"/>
        </w:rPr>
        <w:lastRenderedPageBreak/>
        <w:drawing>
          <wp:inline distT="0" distB="0" distL="0" distR="0" wp14:anchorId="7CAB10D4" wp14:editId="542D0B9B">
            <wp:extent cx="5612130" cy="2390234"/>
            <wp:effectExtent l="0" t="0" r="7620" b="0"/>
            <wp:docPr id="2027919976" name="Imagen 5"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919976" name="Imagen 5" descr="Gráfico&#10;&#10;El contenido generado por IA puede ser incorrecto."/>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5612130" cy="2390234"/>
                    </a:xfrm>
                    <a:prstGeom prst="rect">
                      <a:avLst/>
                    </a:prstGeom>
                    <a:noFill/>
                    <a:ln>
                      <a:noFill/>
                    </a:ln>
                  </pic:spPr>
                </pic:pic>
              </a:graphicData>
            </a:graphic>
          </wp:inline>
        </w:drawing>
      </w:r>
    </w:p>
    <w:p w14:paraId="05553CB4" w14:textId="6B06A484" w:rsidR="005E2917" w:rsidRPr="00AE4405" w:rsidRDefault="001E71DB" w:rsidP="001E71DB">
      <w:pPr>
        <w:pStyle w:val="Descripcin"/>
        <w:rPr>
          <w:lang w:val="en-US"/>
        </w:rPr>
      </w:pPr>
      <w:bookmarkStart w:id="0" w:name="_Ref215562485"/>
      <w:r w:rsidRPr="00AE4405">
        <w:rPr>
          <w:lang w:val="en-US"/>
        </w:rPr>
        <w:t xml:space="preserve">Figure </w:t>
      </w:r>
      <w:r w:rsidRPr="00AE4405">
        <w:rPr>
          <w:lang w:val="en-US"/>
        </w:rPr>
        <w:fldChar w:fldCharType="begin"/>
      </w:r>
      <w:r w:rsidRPr="00AE4405">
        <w:rPr>
          <w:lang w:val="en-US"/>
        </w:rPr>
        <w:instrText xml:space="preserve"> SEQ Figure \* ARABIC </w:instrText>
      </w:r>
      <w:r w:rsidRPr="00AE4405">
        <w:rPr>
          <w:lang w:val="en-US"/>
        </w:rPr>
        <w:fldChar w:fldCharType="separate"/>
      </w:r>
      <w:r w:rsidR="00B61F22">
        <w:rPr>
          <w:noProof/>
          <w:lang w:val="en-US"/>
        </w:rPr>
        <w:t>1</w:t>
      </w:r>
      <w:r w:rsidRPr="00AE4405">
        <w:rPr>
          <w:lang w:val="en-US"/>
        </w:rPr>
        <w:fldChar w:fldCharType="end"/>
      </w:r>
      <w:bookmarkEnd w:id="0"/>
      <w:r w:rsidR="00A62069" w:rsidRPr="00AE4405">
        <w:rPr>
          <w:lang w:val="en-US"/>
        </w:rPr>
        <w:t xml:space="preserve"> Sankey diagram for </w:t>
      </w:r>
      <w:r w:rsidR="00310778" w:rsidRPr="00AE4405">
        <w:rPr>
          <w:lang w:val="en-US"/>
        </w:rPr>
        <w:t xml:space="preserve">the </w:t>
      </w:r>
      <w:r w:rsidR="00A62069" w:rsidRPr="00AE4405">
        <w:rPr>
          <w:lang w:val="en-US"/>
        </w:rPr>
        <w:t>Economic dimension</w:t>
      </w:r>
    </w:p>
    <w:p w14:paraId="3B480BF2" w14:textId="77777777" w:rsidR="00A0219D" w:rsidRDefault="00A0219D" w:rsidP="005E2917">
      <w:pPr>
        <w:rPr>
          <w:lang w:val="en-US"/>
        </w:rPr>
      </w:pPr>
    </w:p>
    <w:p w14:paraId="55408DF6" w14:textId="1A8C12FE" w:rsidR="00A553EC" w:rsidRDefault="00A553EC" w:rsidP="005E2917">
      <w:pPr>
        <w:rPr>
          <w:lang w:val="en-US"/>
        </w:rPr>
      </w:pPr>
      <w:r w:rsidRPr="00A553EC">
        <w:rPr>
          <w:lang w:val="en-US"/>
        </w:rPr>
        <w:t>The environmental dimension (</w:t>
      </w:r>
      <w:r w:rsidRPr="00AE4405">
        <w:rPr>
          <w:lang w:val="en-US"/>
        </w:rPr>
        <w:fldChar w:fldCharType="begin"/>
      </w:r>
      <w:r w:rsidRPr="00AE4405">
        <w:rPr>
          <w:lang w:val="en-US"/>
        </w:rPr>
        <w:instrText xml:space="preserve"> REF _Ref215562556 \h </w:instrText>
      </w:r>
      <w:r w:rsidRPr="00AE4405">
        <w:rPr>
          <w:lang w:val="en-US"/>
        </w:rPr>
      </w:r>
      <w:r w:rsidRPr="00AE4405">
        <w:rPr>
          <w:lang w:val="en-US"/>
        </w:rPr>
        <w:fldChar w:fldCharType="separate"/>
      </w:r>
      <w:r w:rsidR="00B61F22" w:rsidRPr="00AE4405">
        <w:rPr>
          <w:lang w:val="en-US"/>
        </w:rPr>
        <w:t xml:space="preserve">Figure </w:t>
      </w:r>
      <w:r w:rsidR="00B61F22">
        <w:rPr>
          <w:noProof/>
          <w:lang w:val="en-US"/>
        </w:rPr>
        <w:t>2</w:t>
      </w:r>
      <w:r w:rsidRPr="00AE4405">
        <w:rPr>
          <w:lang w:val="en-US"/>
        </w:rPr>
        <w:fldChar w:fldCharType="end"/>
      </w:r>
      <w:r w:rsidRPr="00A553EC">
        <w:rPr>
          <w:lang w:val="en-US"/>
        </w:rPr>
        <w:t xml:space="preserve">) displays an even more concentrated structure, overwhelmingly dominated by Water Intensity (0.395). This identifies irrigation demand and water-use efficiency as the single most distinguishing environmental variable across the EU. Medium-weight indicators—Pesticide Usage (0.176), Livestock Density (0.155), and Fertilizer Usage (0.143)—collectively capture nearly half of the remaining entropy, reflecting </w:t>
      </w:r>
      <w:r>
        <w:rPr>
          <w:lang w:val="en-US"/>
        </w:rPr>
        <w:t>differences in chemical pressure and stocking intensity across</w:t>
      </w:r>
      <w:r w:rsidRPr="00A553EC">
        <w:rPr>
          <w:lang w:val="en-US"/>
        </w:rPr>
        <w:t xml:space="preserve"> Member States. Conversely, the Share of Organic UAA (0.094) and Energy Intensity (0.037) contribute minimally, implying that despite political attention, organic adoption rates and fuel efficiency exhibit greater uniformity across the union than anticipated.</w:t>
      </w:r>
    </w:p>
    <w:p w14:paraId="39C1CE94" w14:textId="7AFB81BD" w:rsidR="002866E4" w:rsidRPr="00AE4405" w:rsidRDefault="002866E4" w:rsidP="005E2917">
      <w:pPr>
        <w:rPr>
          <w:lang w:val="en-US"/>
        </w:rPr>
      </w:pPr>
      <w:r w:rsidRPr="00AE4405">
        <w:rPr>
          <w:noProof/>
          <w:lang w:val="en-US"/>
        </w:rPr>
        <w:drawing>
          <wp:inline distT="0" distB="0" distL="0" distR="0" wp14:anchorId="1DAD2526" wp14:editId="6CB32407">
            <wp:extent cx="5605780" cy="2129984"/>
            <wp:effectExtent l="0" t="0" r="0" b="3810"/>
            <wp:docPr id="1439627474" name="Imagen 6"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627474" name="Imagen 6" descr="Gráfico&#10;&#10;El contenido generado por IA puede ser incorrecto."/>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605780" cy="2129984"/>
                    </a:xfrm>
                    <a:prstGeom prst="rect">
                      <a:avLst/>
                    </a:prstGeom>
                    <a:noFill/>
                    <a:ln>
                      <a:noFill/>
                    </a:ln>
                  </pic:spPr>
                </pic:pic>
              </a:graphicData>
            </a:graphic>
          </wp:inline>
        </w:drawing>
      </w:r>
    </w:p>
    <w:p w14:paraId="484AFC3C" w14:textId="0D9E97A3" w:rsidR="001E71DB" w:rsidRPr="00AE4405" w:rsidRDefault="001E71DB" w:rsidP="001E71DB">
      <w:pPr>
        <w:pStyle w:val="Descripcin"/>
        <w:rPr>
          <w:lang w:val="en-US"/>
        </w:rPr>
      </w:pPr>
      <w:bookmarkStart w:id="1" w:name="_Ref215562556"/>
      <w:r w:rsidRPr="00AE4405">
        <w:rPr>
          <w:lang w:val="en-US"/>
        </w:rPr>
        <w:t xml:space="preserve">Figure </w:t>
      </w:r>
      <w:r w:rsidRPr="00AE4405">
        <w:rPr>
          <w:lang w:val="en-US"/>
        </w:rPr>
        <w:fldChar w:fldCharType="begin"/>
      </w:r>
      <w:r w:rsidRPr="00AE4405">
        <w:rPr>
          <w:lang w:val="en-US"/>
        </w:rPr>
        <w:instrText xml:space="preserve"> SEQ Figure \* ARABIC </w:instrText>
      </w:r>
      <w:r w:rsidRPr="00AE4405">
        <w:rPr>
          <w:lang w:val="en-US"/>
        </w:rPr>
        <w:fldChar w:fldCharType="separate"/>
      </w:r>
      <w:r w:rsidR="00B61F22">
        <w:rPr>
          <w:noProof/>
          <w:lang w:val="en-US"/>
        </w:rPr>
        <w:t>2</w:t>
      </w:r>
      <w:r w:rsidRPr="00AE4405">
        <w:rPr>
          <w:lang w:val="en-US"/>
        </w:rPr>
        <w:fldChar w:fldCharType="end"/>
      </w:r>
      <w:bookmarkEnd w:id="1"/>
      <w:r w:rsidR="0062714A" w:rsidRPr="00AE4405">
        <w:rPr>
          <w:lang w:val="en-US"/>
        </w:rPr>
        <w:t xml:space="preserve"> Sankey diagram for </w:t>
      </w:r>
      <w:r w:rsidR="00F351FC" w:rsidRPr="00AE4405">
        <w:rPr>
          <w:lang w:val="en-US"/>
        </w:rPr>
        <w:t xml:space="preserve">the </w:t>
      </w:r>
      <w:r w:rsidR="0062714A" w:rsidRPr="00AE4405">
        <w:rPr>
          <w:lang w:val="en-US"/>
        </w:rPr>
        <w:t>Environmental dimension</w:t>
      </w:r>
    </w:p>
    <w:p w14:paraId="3303E069" w14:textId="332A1757" w:rsidR="004E6AF1" w:rsidRDefault="004E6AF1" w:rsidP="005E2917">
      <w:pPr>
        <w:rPr>
          <w:lang w:val="en-US"/>
        </w:rPr>
      </w:pPr>
      <w:r w:rsidRPr="004E6AF1">
        <w:rPr>
          <w:lang w:val="en-US"/>
        </w:rPr>
        <w:t>In the social dimension (</w:t>
      </w:r>
      <w:r w:rsidRPr="00AE4405">
        <w:rPr>
          <w:lang w:val="en-US"/>
        </w:rPr>
        <w:fldChar w:fldCharType="begin"/>
      </w:r>
      <w:r w:rsidRPr="00AE4405">
        <w:rPr>
          <w:lang w:val="en-US"/>
        </w:rPr>
        <w:instrText xml:space="preserve"> REF _Ref215562956 \h </w:instrText>
      </w:r>
      <w:r w:rsidRPr="00AE4405">
        <w:rPr>
          <w:lang w:val="en-US"/>
        </w:rPr>
      </w:r>
      <w:r w:rsidRPr="00AE4405">
        <w:rPr>
          <w:lang w:val="en-US"/>
        </w:rPr>
        <w:fldChar w:fldCharType="separate"/>
      </w:r>
      <w:r w:rsidR="00B61F22" w:rsidRPr="00AE4405">
        <w:rPr>
          <w:lang w:val="en-US"/>
        </w:rPr>
        <w:t xml:space="preserve">Figure </w:t>
      </w:r>
      <w:r w:rsidR="00B61F22">
        <w:rPr>
          <w:noProof/>
          <w:lang w:val="en-US"/>
        </w:rPr>
        <w:t>3</w:t>
      </w:r>
      <w:r w:rsidRPr="00AE4405">
        <w:rPr>
          <w:lang w:val="en-US"/>
        </w:rPr>
        <w:fldChar w:fldCharType="end"/>
      </w:r>
      <w:r w:rsidRPr="004E6AF1">
        <w:rPr>
          <w:lang w:val="en-US"/>
        </w:rPr>
        <w:t xml:space="preserve">), Structural Change Rate (0.375) emerges as the dominant determinant, indicating that demographic transitions—such as farm exits and generational turnover—are the most heterogeneous social phenomena in EU agriculture. The second-largest contributor, Other Gainful Activities (0.262), highlights the role of income diversification in distinguishing social resilience. Meanwhile, Family Farm Income Parity (0.157) and Family Labor Share (0.062) </w:t>
      </w:r>
      <w:r>
        <w:rPr>
          <w:lang w:val="en-US"/>
        </w:rPr>
        <w:t xml:space="preserve">exhibit lower discriminant power, </w:t>
      </w:r>
      <w:r>
        <w:rPr>
          <w:lang w:val="en-US"/>
        </w:rPr>
        <w:lastRenderedPageBreak/>
        <w:t xml:space="preserve">suggesting that the social sustainability of EU agriculture is defined less by labor allocation per se and more by long-term structural dynamics and households' capacity </w:t>
      </w:r>
      <w:r w:rsidRPr="004E6AF1">
        <w:rPr>
          <w:lang w:val="en-US"/>
        </w:rPr>
        <w:t>to buffer risks through non-agricultural activities.</w:t>
      </w:r>
    </w:p>
    <w:p w14:paraId="12D8AA50" w14:textId="68293021" w:rsidR="00A0219D" w:rsidRDefault="00A0219D" w:rsidP="005E2917">
      <w:pPr>
        <w:rPr>
          <w:lang w:val="en-US"/>
        </w:rPr>
      </w:pPr>
    </w:p>
    <w:p w14:paraId="2CC1B28F" w14:textId="5A6F654B" w:rsidR="002866E4" w:rsidRPr="00AE4405" w:rsidRDefault="002866E4" w:rsidP="005E2917">
      <w:pPr>
        <w:rPr>
          <w:lang w:val="en-US"/>
        </w:rPr>
      </w:pPr>
      <w:r w:rsidRPr="00AE4405">
        <w:rPr>
          <w:noProof/>
          <w:lang w:val="en-US"/>
        </w:rPr>
        <w:drawing>
          <wp:inline distT="0" distB="0" distL="0" distR="0" wp14:anchorId="7E8DCA2E" wp14:editId="25FC793D">
            <wp:extent cx="5605780" cy="2333645"/>
            <wp:effectExtent l="0" t="0" r="0" b="9525"/>
            <wp:docPr id="389340057" name="Imagen 7"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340057" name="Imagen 7" descr="Gráfico, Gráfico de barras&#10;&#10;El contenido generado por IA puede ser incorrecto."/>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5605780" cy="2333645"/>
                    </a:xfrm>
                    <a:prstGeom prst="rect">
                      <a:avLst/>
                    </a:prstGeom>
                    <a:noFill/>
                    <a:ln>
                      <a:noFill/>
                    </a:ln>
                  </pic:spPr>
                </pic:pic>
              </a:graphicData>
            </a:graphic>
          </wp:inline>
        </w:drawing>
      </w:r>
    </w:p>
    <w:p w14:paraId="17966254" w14:textId="316FF241" w:rsidR="001E71DB" w:rsidRPr="00AE4405" w:rsidRDefault="001E71DB" w:rsidP="001E71DB">
      <w:pPr>
        <w:pStyle w:val="Descripcin"/>
        <w:rPr>
          <w:lang w:val="en-US"/>
        </w:rPr>
      </w:pPr>
      <w:bookmarkStart w:id="2" w:name="_Ref215562956"/>
      <w:r w:rsidRPr="00AE4405">
        <w:rPr>
          <w:lang w:val="en-US"/>
        </w:rPr>
        <w:t xml:space="preserve">Figure </w:t>
      </w:r>
      <w:r w:rsidRPr="00AE4405">
        <w:rPr>
          <w:lang w:val="en-US"/>
        </w:rPr>
        <w:fldChar w:fldCharType="begin"/>
      </w:r>
      <w:r w:rsidRPr="00AE4405">
        <w:rPr>
          <w:lang w:val="en-US"/>
        </w:rPr>
        <w:instrText xml:space="preserve"> SEQ Figure \* ARABIC </w:instrText>
      </w:r>
      <w:r w:rsidRPr="00AE4405">
        <w:rPr>
          <w:lang w:val="en-US"/>
        </w:rPr>
        <w:fldChar w:fldCharType="separate"/>
      </w:r>
      <w:r w:rsidR="00B61F22">
        <w:rPr>
          <w:noProof/>
          <w:lang w:val="en-US"/>
        </w:rPr>
        <w:t>3</w:t>
      </w:r>
      <w:r w:rsidRPr="00AE4405">
        <w:rPr>
          <w:lang w:val="en-US"/>
        </w:rPr>
        <w:fldChar w:fldCharType="end"/>
      </w:r>
      <w:bookmarkEnd w:id="2"/>
      <w:r w:rsidR="0062714A" w:rsidRPr="00AE4405">
        <w:rPr>
          <w:lang w:val="en-US"/>
        </w:rPr>
        <w:t xml:space="preserve"> Sankey diagram for </w:t>
      </w:r>
      <w:r w:rsidR="001F2177" w:rsidRPr="00AE4405">
        <w:rPr>
          <w:lang w:val="en-US"/>
        </w:rPr>
        <w:t xml:space="preserve">the </w:t>
      </w:r>
      <w:proofErr w:type="gramStart"/>
      <w:r w:rsidR="0062714A" w:rsidRPr="00AE4405">
        <w:rPr>
          <w:lang w:val="en-US"/>
        </w:rPr>
        <w:t>Social</w:t>
      </w:r>
      <w:proofErr w:type="gramEnd"/>
      <w:r w:rsidR="0062714A" w:rsidRPr="00AE4405">
        <w:rPr>
          <w:lang w:val="en-US"/>
        </w:rPr>
        <w:t xml:space="preserve"> dimension</w:t>
      </w:r>
    </w:p>
    <w:p w14:paraId="5CF897FF" w14:textId="2863B23F" w:rsidR="002721BE" w:rsidRPr="002721BE" w:rsidRDefault="008717B4" w:rsidP="002721BE">
      <w:pPr>
        <w:rPr>
          <w:lang w:val="en-US"/>
        </w:rPr>
      </w:pPr>
      <w:r w:rsidRPr="008717B4">
        <w:rPr>
          <w:lang w:val="en-US"/>
        </w:rPr>
        <w:t>The bar-chart profiles (</w:t>
      </w:r>
      <w:r w:rsidRPr="00AE4405">
        <w:rPr>
          <w:i/>
          <w:iCs/>
          <w:lang w:val="en-US"/>
        </w:rPr>
        <w:fldChar w:fldCharType="begin"/>
      </w:r>
      <w:r w:rsidRPr="00AE4405">
        <w:rPr>
          <w:lang w:val="en-US"/>
        </w:rPr>
        <w:instrText xml:space="preserve"> REF _Ref215563080 \h </w:instrText>
      </w:r>
      <w:r w:rsidRPr="00AE4405">
        <w:rPr>
          <w:i/>
          <w:iCs/>
          <w:lang w:val="en-US"/>
        </w:rPr>
        <w:instrText xml:space="preserve"> \* MERGEFORMAT </w:instrText>
      </w:r>
      <w:r w:rsidRPr="00AE4405">
        <w:rPr>
          <w:i/>
          <w:iCs/>
          <w:lang w:val="en-US"/>
        </w:rPr>
      </w:r>
      <w:r w:rsidRPr="00AE4405">
        <w:rPr>
          <w:i/>
          <w:iCs/>
          <w:lang w:val="en-US"/>
        </w:rPr>
        <w:fldChar w:fldCharType="separate"/>
      </w:r>
      <w:r w:rsidR="00B61F22" w:rsidRPr="00AE4405">
        <w:rPr>
          <w:lang w:val="en-US"/>
        </w:rPr>
        <w:t xml:space="preserve">Figure </w:t>
      </w:r>
      <w:r w:rsidR="00B61F22">
        <w:rPr>
          <w:lang w:val="en-US"/>
        </w:rPr>
        <w:t>4</w:t>
      </w:r>
      <w:r w:rsidRPr="00AE4405">
        <w:rPr>
          <w:i/>
          <w:iCs/>
          <w:lang w:val="en-US"/>
        </w:rPr>
        <w:fldChar w:fldCharType="end"/>
      </w:r>
      <w:r w:rsidRPr="008717B4">
        <w:rPr>
          <w:lang w:val="en-US"/>
        </w:rPr>
        <w:t xml:space="preserve">) show that performance rankings are strongly dimension-specific rather than convergent. In the economic dimension, Italy and Denmark lead the distribution, </w:t>
      </w:r>
      <w:r>
        <w:rPr>
          <w:lang w:val="en-US"/>
        </w:rPr>
        <w:t>whereas Slovakia and the Czech Republic</w:t>
      </w:r>
      <w:r w:rsidRPr="008717B4">
        <w:rPr>
          <w:lang w:val="en-US"/>
        </w:rPr>
        <w:t xml:space="preserve"> anchor the low tier. In the environmental dimension, Austria and Sweden </w:t>
      </w:r>
      <w:r>
        <w:rPr>
          <w:lang w:val="en-US"/>
        </w:rPr>
        <w:t>are at the top, alongside several Northern/Central systems, whereas Mediterranean and semi-arid systems (notably Spain, Greece, Cyprus, and Malta, with Bulgaria also in the low tier) are concentrated</w:t>
      </w:r>
      <w:r w:rsidRPr="008717B4">
        <w:rPr>
          <w:lang w:val="en-US"/>
        </w:rPr>
        <w:t xml:space="preserve"> at the lower end. In the social dimension, the highest scores </w:t>
      </w:r>
      <w:r>
        <w:rPr>
          <w:lang w:val="en-US"/>
        </w:rPr>
        <w:t>are observed in the East–Central subgroup (Slovakia, Hungary, and Slovenia), whereas Romania, Bulgaria, and Malta remain persistently low performers, and many Western/Southern Member States fall within</w:t>
      </w:r>
      <w:r w:rsidRPr="008717B4">
        <w:rPr>
          <w:lang w:val="en-US"/>
        </w:rPr>
        <w:t xml:space="preserve"> the medium-low band.</w:t>
      </w:r>
    </w:p>
    <w:p w14:paraId="47EBFFEE" w14:textId="0E1218E6" w:rsidR="002721BE" w:rsidRPr="002721BE" w:rsidRDefault="00B24FA2" w:rsidP="002721BE">
      <w:pPr>
        <w:rPr>
          <w:lang w:val="en-US"/>
        </w:rPr>
      </w:pPr>
      <w:r w:rsidRPr="00B24FA2">
        <w:rPr>
          <w:lang w:val="en-US"/>
        </w:rPr>
        <w:t xml:space="preserve">The pairwise comparisons </w:t>
      </w:r>
      <w:r w:rsidRPr="002721BE">
        <w:rPr>
          <w:lang w:val="en-US"/>
        </w:rPr>
        <w:t xml:space="preserve">in </w:t>
      </w:r>
      <w:r>
        <w:rPr>
          <w:i/>
          <w:iCs/>
          <w:lang w:val="en-US"/>
        </w:rPr>
        <w:fldChar w:fldCharType="begin"/>
      </w:r>
      <w:r>
        <w:rPr>
          <w:lang w:val="en-US"/>
        </w:rPr>
        <w:instrText xml:space="preserve"> REF _Ref215564201 \h </w:instrText>
      </w:r>
      <w:r>
        <w:rPr>
          <w:i/>
          <w:iCs/>
          <w:lang w:val="en-US"/>
        </w:rPr>
      </w:r>
      <w:r>
        <w:rPr>
          <w:i/>
          <w:iCs/>
          <w:lang w:val="en-US"/>
        </w:rPr>
        <w:fldChar w:fldCharType="separate"/>
      </w:r>
      <w:r w:rsidR="00B61F22" w:rsidRPr="00AE4405">
        <w:rPr>
          <w:lang w:val="en-US"/>
        </w:rPr>
        <w:t xml:space="preserve">Figure </w:t>
      </w:r>
      <w:r w:rsidR="00B61F22">
        <w:rPr>
          <w:noProof/>
          <w:lang w:val="en-US"/>
        </w:rPr>
        <w:t>5</w:t>
      </w:r>
      <w:r>
        <w:rPr>
          <w:i/>
          <w:iCs/>
          <w:lang w:val="en-US"/>
        </w:rPr>
        <w:fldChar w:fldCharType="end"/>
      </w:r>
      <w:r>
        <w:rPr>
          <w:i/>
          <w:iCs/>
          <w:lang w:val="en-US"/>
        </w:rPr>
        <w:t xml:space="preserve"> </w:t>
      </w:r>
      <w:r w:rsidRPr="00B24FA2">
        <w:rPr>
          <w:lang w:val="en-US"/>
        </w:rPr>
        <w:t xml:space="preserve">confirm that the three dimensions do not move in lockstep. With EU means of </w:t>
      </w:r>
      <m:oMath>
        <m:sSub>
          <m:sSubPr>
            <m:ctrlPr>
              <w:rPr>
                <w:rFonts w:ascii="Cambria Math" w:hAnsi="Cambria Math"/>
                <w:i/>
                <w:lang w:val="en-US"/>
              </w:rPr>
            </m:ctrlPr>
          </m:sSubPr>
          <m:e>
            <m:r>
              <w:rPr>
                <w:rFonts w:ascii="Cambria Math" w:hAnsi="Cambria Math"/>
                <w:lang w:val="en-US"/>
              </w:rPr>
              <m:t>μ</m:t>
            </m:r>
          </m:e>
          <m:sub>
            <m:r>
              <w:rPr>
                <w:rFonts w:ascii="Cambria Math" w:hAnsi="Cambria Math"/>
                <w:lang w:val="en-US"/>
              </w:rPr>
              <m:t>E</m:t>
            </m:r>
            <m:r>
              <w:rPr>
                <w:rFonts w:ascii="Cambria Math" w:hAnsi="Cambria Math"/>
                <w:lang w:val="en-US"/>
              </w:rPr>
              <m:t>con</m:t>
            </m:r>
          </m:sub>
        </m:sSub>
        <m:r>
          <w:rPr>
            <w:rFonts w:ascii="Cambria Math" w:hAnsi="Cambria Math"/>
            <w:lang w:val="en-US"/>
          </w:rPr>
          <m:t>=0.47</m:t>
        </m:r>
      </m:oMath>
      <w:r w:rsidRPr="00B24FA2">
        <w:rPr>
          <w:lang w:val="en-US"/>
        </w:rPr>
        <w:t xml:space="preserve">, </w:t>
      </w:r>
      <m:oMath>
        <m:sSub>
          <m:sSubPr>
            <m:ctrlPr>
              <w:rPr>
                <w:rFonts w:ascii="Cambria Math" w:hAnsi="Cambria Math"/>
                <w:i/>
                <w:lang w:val="en-US"/>
              </w:rPr>
            </m:ctrlPr>
          </m:sSubPr>
          <m:e>
            <m:r>
              <w:rPr>
                <w:rFonts w:ascii="Cambria Math" w:hAnsi="Cambria Math"/>
                <w:lang w:val="en-US"/>
              </w:rPr>
              <m:t>μ</m:t>
            </m:r>
          </m:e>
          <m:sub>
            <m:r>
              <w:rPr>
                <w:rFonts w:ascii="Cambria Math" w:hAnsi="Cambria Math"/>
                <w:lang w:val="en-US"/>
              </w:rPr>
              <m:t>Env</m:t>
            </m:r>
          </m:sub>
        </m:sSub>
        <m:r>
          <w:rPr>
            <w:rFonts w:ascii="Cambria Math" w:hAnsi="Cambria Math"/>
            <w:lang w:val="en-US"/>
          </w:rPr>
          <m:t>=0.73</m:t>
        </m:r>
      </m:oMath>
      <w:r w:rsidRPr="00B24FA2">
        <w:rPr>
          <w:lang w:val="en-US"/>
        </w:rPr>
        <w:t xml:space="preserve">, and </w:t>
      </w:r>
      <m:oMath>
        <m:sSub>
          <m:sSubPr>
            <m:ctrlPr>
              <w:rPr>
                <w:rFonts w:ascii="Cambria Math" w:hAnsi="Cambria Math"/>
                <w:i/>
                <w:lang w:val="en-US"/>
              </w:rPr>
            </m:ctrlPr>
          </m:sSubPr>
          <m:e>
            <m:r>
              <w:rPr>
                <w:rFonts w:ascii="Cambria Math" w:hAnsi="Cambria Math"/>
                <w:lang w:val="en-US"/>
              </w:rPr>
              <m:t>μ</m:t>
            </m:r>
          </m:e>
          <m:sub>
            <m:r>
              <w:rPr>
                <w:rFonts w:ascii="Cambria Math" w:hAnsi="Cambria Math"/>
                <w:lang w:val="en-US"/>
              </w:rPr>
              <m:t>Soc</m:t>
            </m:r>
          </m:sub>
        </m:sSub>
        <m:r>
          <w:rPr>
            <w:rFonts w:ascii="Cambria Math" w:hAnsi="Cambria Math"/>
            <w:lang w:val="en-US"/>
          </w:rPr>
          <m:t>=0.49</m:t>
        </m:r>
      </m:oMath>
      <w:r w:rsidRPr="00B24FA2">
        <w:rPr>
          <w:lang w:val="en-US"/>
        </w:rPr>
        <w:t xml:space="preserve"> (dashed lines), several Member States fall into trade-off quadrants rather than the high–high “synergy” space. High economic performance does not guarantee environmental sustainability: Spain and Greece remain emblematic cases with </w:t>
      </w:r>
      <w:r w:rsidR="003569D5">
        <w:rPr>
          <w:lang w:val="en-US"/>
        </w:rPr>
        <w:t>above-average economic scores but clearly below-average environmental outcomes; Italy and Portugal exhibit</w:t>
      </w:r>
      <w:r w:rsidRPr="00B24FA2">
        <w:rPr>
          <w:lang w:val="en-US"/>
        </w:rPr>
        <w:t xml:space="preserve"> a similar economic–environmental imbalance. Conversely, several countries achieve strong environmental and/or social outcomes despite weak economic scores—most visibly Slovakia (high environmental and high social with very low economic), and to a lesser extent</w:t>
      </w:r>
      <w:r w:rsidR="003569D5">
        <w:rPr>
          <w:lang w:val="en-US"/>
        </w:rPr>
        <w:t>,</w:t>
      </w:r>
      <w:r w:rsidRPr="00B24FA2">
        <w:rPr>
          <w:lang w:val="en-US"/>
        </w:rPr>
        <w:t xml:space="preserve"> Czechia and Finland. A smaller set </w:t>
      </w:r>
      <w:r>
        <w:rPr>
          <w:lang w:val="en-US"/>
        </w:rPr>
        <w:t xml:space="preserve">of cases approaches genuine cross-dimensional </w:t>
      </w:r>
      <w:r w:rsidR="003569D5">
        <w:rPr>
          <w:lang w:val="en-US"/>
        </w:rPr>
        <w:t>performance</w:t>
      </w:r>
      <w:r>
        <w:rPr>
          <w:lang w:val="en-US"/>
        </w:rPr>
        <w:t xml:space="preserve"> (e.g., Austria and Hungary), but the overall pattern remains one of partial alignment and frequent compensation across</w:t>
      </w:r>
      <w:r w:rsidRPr="00B24FA2">
        <w:rPr>
          <w:lang w:val="en-US"/>
        </w:rPr>
        <w:t xml:space="preserve"> dimensions.</w:t>
      </w:r>
    </w:p>
    <w:p w14:paraId="6C1FEAE7" w14:textId="3A981C81" w:rsidR="0036037D" w:rsidRPr="0036037D" w:rsidRDefault="0036037D" w:rsidP="0036037D">
      <w:pPr>
        <w:rPr>
          <w:lang w:val="en-US"/>
        </w:rPr>
      </w:pPr>
    </w:p>
    <w:p w14:paraId="57F84FF2" w14:textId="1DD7D680" w:rsidR="0036037D" w:rsidRPr="00AE4405" w:rsidRDefault="002E3AB5" w:rsidP="005E2917">
      <w:pPr>
        <w:rPr>
          <w:lang w:val="en-US"/>
        </w:rPr>
      </w:pPr>
      <w:r>
        <w:rPr>
          <w:noProof/>
          <w:lang w:val="en-US"/>
        </w:rPr>
        <w:lastRenderedPageBreak/>
        <w:drawing>
          <wp:inline distT="0" distB="0" distL="0" distR="0" wp14:anchorId="3439497B" wp14:editId="23B0069C">
            <wp:extent cx="5605803" cy="3714750"/>
            <wp:effectExtent l="0" t="0" r="0" b="0"/>
            <wp:docPr id="93159328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593288" name="Imagen 4"/>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5605803" cy="3714750"/>
                    </a:xfrm>
                    <a:prstGeom prst="rect">
                      <a:avLst/>
                    </a:prstGeom>
                    <a:noFill/>
                    <a:ln>
                      <a:noFill/>
                    </a:ln>
                  </pic:spPr>
                </pic:pic>
              </a:graphicData>
            </a:graphic>
          </wp:inline>
        </w:drawing>
      </w:r>
    </w:p>
    <w:p w14:paraId="619BC0AB" w14:textId="7452F487" w:rsidR="001E71DB" w:rsidRPr="00AE4405" w:rsidRDefault="001E71DB" w:rsidP="001E71DB">
      <w:pPr>
        <w:pStyle w:val="Descripcin"/>
        <w:rPr>
          <w:lang w:val="en-US"/>
        </w:rPr>
      </w:pPr>
      <w:bookmarkStart w:id="3" w:name="_Ref215563080"/>
      <w:r w:rsidRPr="00AE4405">
        <w:rPr>
          <w:lang w:val="en-US"/>
        </w:rPr>
        <w:t xml:space="preserve">Figure </w:t>
      </w:r>
      <w:r w:rsidRPr="00AE4405">
        <w:rPr>
          <w:lang w:val="en-US"/>
        </w:rPr>
        <w:fldChar w:fldCharType="begin"/>
      </w:r>
      <w:r w:rsidRPr="00AE4405">
        <w:rPr>
          <w:lang w:val="en-US"/>
        </w:rPr>
        <w:instrText xml:space="preserve"> SEQ Figure \* ARABIC </w:instrText>
      </w:r>
      <w:r w:rsidRPr="00AE4405">
        <w:rPr>
          <w:lang w:val="en-US"/>
        </w:rPr>
        <w:fldChar w:fldCharType="separate"/>
      </w:r>
      <w:r w:rsidR="00B61F22">
        <w:rPr>
          <w:noProof/>
          <w:lang w:val="en-US"/>
        </w:rPr>
        <w:t>4</w:t>
      </w:r>
      <w:r w:rsidRPr="00AE4405">
        <w:rPr>
          <w:lang w:val="en-US"/>
        </w:rPr>
        <w:fldChar w:fldCharType="end"/>
      </w:r>
      <w:bookmarkEnd w:id="3"/>
      <w:r w:rsidR="0062714A" w:rsidRPr="00AE4405">
        <w:rPr>
          <w:lang w:val="en-US"/>
        </w:rPr>
        <w:t xml:space="preserve"> EU bar chart colored by </w:t>
      </w:r>
      <m:oMath>
        <m:r>
          <w:rPr>
            <w:rFonts w:ascii="Cambria Math" w:hAnsi="Cambria Math"/>
            <w:lang w:val="en-US"/>
          </w:rPr>
          <m:t>μ±σ</m:t>
        </m:r>
      </m:oMath>
      <w:r w:rsidR="00D0649C">
        <w:rPr>
          <w:rFonts w:eastAsiaTheme="minorEastAsia"/>
          <w:lang w:val="en-US"/>
        </w:rPr>
        <w:t xml:space="preserve"> </w:t>
      </w:r>
      <w:r w:rsidR="0062714A" w:rsidRPr="00AE4405">
        <w:rPr>
          <w:lang w:val="en-US"/>
        </w:rPr>
        <w:t>classification bands.</w:t>
      </w:r>
    </w:p>
    <w:p w14:paraId="6482D144" w14:textId="7C4CAD3C" w:rsidR="00F62C81" w:rsidRDefault="00F62C81" w:rsidP="00606CF3">
      <w:pPr>
        <w:ind w:firstLine="0"/>
        <w:rPr>
          <w:lang w:val="en-US"/>
        </w:rPr>
      </w:pPr>
    </w:p>
    <w:p w14:paraId="02D2450E" w14:textId="77777777" w:rsidR="00C96E33" w:rsidRDefault="00C96E33" w:rsidP="00C96E33">
      <w:pPr>
        <w:ind w:firstLine="0"/>
        <w:rPr>
          <w:lang w:val="en-US"/>
        </w:rPr>
      </w:pPr>
    </w:p>
    <w:p w14:paraId="57AFEC9F" w14:textId="77777777" w:rsidR="00C96E33" w:rsidRPr="00AE4405" w:rsidRDefault="00C96E33" w:rsidP="00C96E33">
      <w:pPr>
        <w:ind w:firstLine="0"/>
        <w:rPr>
          <w:lang w:val="en-US"/>
        </w:rPr>
      </w:pPr>
      <w:r>
        <w:rPr>
          <w:noProof/>
          <w:lang w:val="en-US"/>
        </w:rPr>
        <w:lastRenderedPageBreak/>
        <w:drawing>
          <wp:inline distT="0" distB="0" distL="0" distR="0" wp14:anchorId="39360DF7" wp14:editId="2E62E9CC">
            <wp:extent cx="5607298" cy="6334125"/>
            <wp:effectExtent l="0" t="0" r="0" b="0"/>
            <wp:docPr id="52530936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309368" name="Imagen 6"/>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5607298" cy="6334125"/>
                    </a:xfrm>
                    <a:prstGeom prst="rect">
                      <a:avLst/>
                    </a:prstGeom>
                    <a:noFill/>
                    <a:ln>
                      <a:noFill/>
                    </a:ln>
                  </pic:spPr>
                </pic:pic>
              </a:graphicData>
            </a:graphic>
          </wp:inline>
        </w:drawing>
      </w:r>
    </w:p>
    <w:p w14:paraId="131574FF" w14:textId="24234846" w:rsidR="00C96E33" w:rsidRPr="00AE4405" w:rsidRDefault="00C96E33" w:rsidP="00C96E33">
      <w:pPr>
        <w:pStyle w:val="Descripcin"/>
        <w:rPr>
          <w:lang w:val="en-US"/>
        </w:rPr>
      </w:pPr>
      <w:bookmarkStart w:id="4" w:name="_Ref215564201"/>
      <w:r w:rsidRPr="00AE4405">
        <w:rPr>
          <w:lang w:val="en-US"/>
        </w:rPr>
        <w:t xml:space="preserve">Figure </w:t>
      </w:r>
      <w:r w:rsidRPr="00AE4405">
        <w:rPr>
          <w:lang w:val="en-US"/>
        </w:rPr>
        <w:fldChar w:fldCharType="begin"/>
      </w:r>
      <w:r w:rsidRPr="00AE4405">
        <w:rPr>
          <w:lang w:val="en-US"/>
        </w:rPr>
        <w:instrText xml:space="preserve"> SEQ Figure \* ARABIC </w:instrText>
      </w:r>
      <w:r w:rsidRPr="00AE4405">
        <w:rPr>
          <w:lang w:val="en-US"/>
        </w:rPr>
        <w:fldChar w:fldCharType="separate"/>
      </w:r>
      <w:r w:rsidR="00B61F22">
        <w:rPr>
          <w:noProof/>
          <w:lang w:val="en-US"/>
        </w:rPr>
        <w:t>5</w:t>
      </w:r>
      <w:r w:rsidRPr="00AE4405">
        <w:rPr>
          <w:lang w:val="en-US"/>
        </w:rPr>
        <w:fldChar w:fldCharType="end"/>
      </w:r>
      <w:bookmarkEnd w:id="4"/>
      <w:r>
        <w:rPr>
          <w:lang w:val="en-US"/>
        </w:rPr>
        <w:t xml:space="preserve"> </w:t>
      </w:r>
      <w:r w:rsidRPr="00E0411E">
        <w:rPr>
          <w:lang w:val="en-US"/>
        </w:rPr>
        <w:t xml:space="preserve">Pairwise score scatter plots colored by </w:t>
      </w:r>
      <m:oMath>
        <m:r>
          <w:rPr>
            <w:rFonts w:ascii="Cambria Math" w:hAnsi="Cambria Math"/>
            <w:lang w:val="en-US"/>
          </w:rPr>
          <m:t>μ±σ</m:t>
        </m:r>
      </m:oMath>
      <w:r w:rsidRPr="00E0411E">
        <w:rPr>
          <w:lang w:val="en-US"/>
        </w:rPr>
        <w:t xml:space="preserve"> classification bands.</w:t>
      </w:r>
    </w:p>
    <w:p w14:paraId="0EBCFA12" w14:textId="5DC72406" w:rsidR="00C96E33" w:rsidRDefault="00CA08C4" w:rsidP="00606CF3">
      <w:pPr>
        <w:ind w:firstLine="0"/>
        <w:rPr>
          <w:lang w:val="en-US"/>
        </w:rPr>
      </w:pPr>
      <w:r w:rsidRPr="00CA08C4">
        <w:rPr>
          <w:lang w:val="en-US"/>
        </w:rPr>
        <w:t>The geographic maps (</w:t>
      </w:r>
      <w:r w:rsidR="00617C24">
        <w:rPr>
          <w:lang w:val="en-US"/>
        </w:rPr>
        <w:fldChar w:fldCharType="begin"/>
      </w:r>
      <w:r w:rsidR="00617C24">
        <w:rPr>
          <w:lang w:val="en-US"/>
        </w:rPr>
        <w:instrText xml:space="preserve"> REF _Ref221198748 \h </w:instrText>
      </w:r>
      <w:r w:rsidR="00617C24">
        <w:rPr>
          <w:lang w:val="en-US"/>
        </w:rPr>
      </w:r>
      <w:r w:rsidR="00617C24">
        <w:rPr>
          <w:lang w:val="en-US"/>
        </w:rPr>
        <w:fldChar w:fldCharType="separate"/>
      </w:r>
      <w:r w:rsidR="00B61F22" w:rsidRPr="005D6977">
        <w:rPr>
          <w:lang w:val="en-US"/>
        </w:rPr>
        <w:t xml:space="preserve">Figure </w:t>
      </w:r>
      <w:r w:rsidR="00B61F22">
        <w:rPr>
          <w:noProof/>
          <w:lang w:val="en-US"/>
        </w:rPr>
        <w:t>6</w:t>
      </w:r>
      <w:r w:rsidR="00617C24">
        <w:rPr>
          <w:lang w:val="en-US"/>
        </w:rPr>
        <w:fldChar w:fldCharType="end"/>
      </w:r>
      <w:r w:rsidRPr="00CA08C4">
        <w:rPr>
          <w:lang w:val="en-US"/>
        </w:rPr>
        <w:t>) indicate that the “fracture” in EU agricultural sustainability is not expressed along a single, uniform axis</w:t>
      </w:r>
      <w:r w:rsidR="00B61F22">
        <w:rPr>
          <w:lang w:val="en-US"/>
        </w:rPr>
        <w:t xml:space="preserve"> but varies across dimensions</w:t>
      </w:r>
      <w:r w:rsidRPr="00CA08C4">
        <w:rPr>
          <w:lang w:val="en-US"/>
        </w:rPr>
        <w:t xml:space="preserve">. Environmental performance shows the clearest North/Central advantage, with most Northern and Central Member States clustered in </w:t>
      </w:r>
      <w:r w:rsidR="00B61F22">
        <w:rPr>
          <w:lang w:val="en-US"/>
        </w:rPr>
        <w:t>medium- to high tiers, whereas the Mediterranean and parts of the Southeast are concentrated</w:t>
      </w:r>
      <w:r w:rsidRPr="00CA08C4">
        <w:rPr>
          <w:lang w:val="en-US"/>
        </w:rPr>
        <w:t xml:space="preserve"> in low tiers. Social performance shows a </w:t>
      </w:r>
      <w:r w:rsidR="00B61F22">
        <w:rPr>
          <w:lang w:val="en-US"/>
        </w:rPr>
        <w:t>distinct structure, with an East–Central corridor (e.g., Slovakia–Hungary–Slovenia) standing out positively relative to</w:t>
      </w:r>
      <w:r w:rsidRPr="00CA08C4">
        <w:rPr>
          <w:lang w:val="en-US"/>
        </w:rPr>
        <w:t xml:space="preserve"> weaker outcomes in parts of the Southeast (notably Romania and Bulgaria) and generally medium-low outcomes across much of Western/Southern Europe. Economic performance reverses several common intuitions: high tiers are limited (dominated by Italy </w:t>
      </w:r>
      <w:r w:rsidRPr="00CA08C4">
        <w:rPr>
          <w:lang w:val="en-US"/>
        </w:rPr>
        <w:lastRenderedPageBreak/>
        <w:t>and Denmark), while several Nordic/Baltic and Central-Eastern systems fall into medium-low to low bands. Taken together, these spatial patterns remain consistent with a “</w:t>
      </w:r>
      <w:proofErr w:type="spellStart"/>
      <w:r w:rsidRPr="00CA08C4">
        <w:rPr>
          <w:lang w:val="en-US"/>
        </w:rPr>
        <w:t>brightspots</w:t>
      </w:r>
      <w:proofErr w:type="spellEnd"/>
      <w:r w:rsidRPr="00CA08C4">
        <w:rPr>
          <w:lang w:val="en-US"/>
        </w:rPr>
        <w:t xml:space="preserve"> vs. </w:t>
      </w:r>
      <w:proofErr w:type="spellStart"/>
      <w:r w:rsidRPr="00CA08C4">
        <w:rPr>
          <w:lang w:val="en-US"/>
        </w:rPr>
        <w:t>dragspots</w:t>
      </w:r>
      <w:proofErr w:type="spellEnd"/>
      <w:r w:rsidRPr="00CA08C4">
        <w:rPr>
          <w:lang w:val="en-US"/>
        </w:rPr>
        <w:t>” interpretation (Nicholas and Scown, 2024), but the rerun results indicate a multi-speed, multi-dimensional Europe rather than a single cohesive North–South gradient.</w:t>
      </w:r>
    </w:p>
    <w:p w14:paraId="258A0BCA" w14:textId="2D3CB717" w:rsidR="00AF4EC4" w:rsidRDefault="00AF4EC4" w:rsidP="006D3F25">
      <w:pPr>
        <w:ind w:firstLine="0"/>
        <w:rPr>
          <w:lang w:val="en-US"/>
        </w:rPr>
      </w:pPr>
    </w:p>
    <w:p w14:paraId="22764542" w14:textId="77777777" w:rsidR="000A2396" w:rsidRDefault="000A2396" w:rsidP="006D3F25">
      <w:pPr>
        <w:ind w:firstLine="0"/>
        <w:rPr>
          <w:lang w:val="en-US"/>
        </w:rPr>
      </w:pPr>
    </w:p>
    <w:p w14:paraId="6A205DBD" w14:textId="016889AC" w:rsidR="00565E7B" w:rsidRDefault="000A2396" w:rsidP="006D3F25">
      <w:pPr>
        <w:ind w:firstLine="0"/>
        <w:rPr>
          <w:lang w:val="en-US"/>
        </w:rPr>
      </w:pPr>
      <w:r>
        <w:rPr>
          <w:noProof/>
          <w:lang w:val="en-US"/>
        </w:rPr>
        <w:drawing>
          <wp:inline distT="0" distB="0" distL="0" distR="0" wp14:anchorId="641DFA4D" wp14:editId="46B87B67">
            <wp:extent cx="5603916" cy="2438400"/>
            <wp:effectExtent l="0" t="0" r="0" b="0"/>
            <wp:docPr id="163002382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023827" name="Imagen 10"/>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5603916" cy="2438400"/>
                    </a:xfrm>
                    <a:prstGeom prst="rect">
                      <a:avLst/>
                    </a:prstGeom>
                    <a:noFill/>
                    <a:ln>
                      <a:noFill/>
                    </a:ln>
                  </pic:spPr>
                </pic:pic>
              </a:graphicData>
            </a:graphic>
          </wp:inline>
        </w:drawing>
      </w:r>
    </w:p>
    <w:p w14:paraId="27CC6457" w14:textId="089FA9B0" w:rsidR="000A2396" w:rsidRDefault="00CD2E04" w:rsidP="00CD2E04">
      <w:pPr>
        <w:pStyle w:val="Descripcin"/>
        <w:rPr>
          <w:lang w:val="en-US"/>
        </w:rPr>
      </w:pPr>
      <w:bookmarkStart w:id="5" w:name="_Ref221198748"/>
      <w:r w:rsidRPr="005D6977">
        <w:rPr>
          <w:lang w:val="en-US"/>
        </w:rPr>
        <w:t xml:space="preserve">Figure </w:t>
      </w:r>
      <w:r>
        <w:fldChar w:fldCharType="begin"/>
      </w:r>
      <w:r w:rsidRPr="005D6977">
        <w:rPr>
          <w:lang w:val="en-US"/>
        </w:rPr>
        <w:instrText xml:space="preserve"> SEQ Figure \* ARABIC </w:instrText>
      </w:r>
      <w:r>
        <w:fldChar w:fldCharType="separate"/>
      </w:r>
      <w:r w:rsidR="00B61F22">
        <w:rPr>
          <w:noProof/>
          <w:lang w:val="en-US"/>
        </w:rPr>
        <w:t>6</w:t>
      </w:r>
      <w:r>
        <w:fldChar w:fldCharType="end"/>
      </w:r>
      <w:bookmarkEnd w:id="5"/>
      <w:r w:rsidRPr="005D6977">
        <w:rPr>
          <w:lang w:val="en-US"/>
        </w:rPr>
        <w:t xml:space="preserve"> Geographic distribution of composite sustainability levels across the EU-27</w:t>
      </w:r>
    </w:p>
    <w:p w14:paraId="0BF1D8C0" w14:textId="77777777" w:rsidR="000A2396" w:rsidRDefault="000A2396" w:rsidP="006D3F25">
      <w:pPr>
        <w:ind w:firstLine="0"/>
        <w:rPr>
          <w:lang w:val="en-US"/>
        </w:rPr>
      </w:pPr>
    </w:p>
    <w:p w14:paraId="2DCD7EB7" w14:textId="41C4D8C9" w:rsidR="00BB1F3E" w:rsidRPr="00BB1F3E" w:rsidRDefault="002E5B7C" w:rsidP="00BB1F3E">
      <w:pPr>
        <w:rPr>
          <w:lang w:val="en-US"/>
        </w:rPr>
      </w:pPr>
      <w:r w:rsidRPr="0015783B">
        <w:rPr>
          <w:i/>
          <w:iCs/>
          <w:lang w:val="en-US"/>
        </w:rPr>
        <w:fldChar w:fldCharType="begin"/>
      </w:r>
      <w:r w:rsidRPr="0015783B">
        <w:rPr>
          <w:lang w:val="en-US"/>
        </w:rPr>
        <w:instrText xml:space="preserve"> REF _Ref215566145 \h </w:instrText>
      </w:r>
      <w:r w:rsidRPr="0015783B">
        <w:rPr>
          <w:i/>
          <w:iCs/>
          <w:lang w:val="en-US"/>
        </w:rPr>
        <w:instrText xml:space="preserve"> \* MERGEFORMAT </w:instrText>
      </w:r>
      <w:r w:rsidRPr="0015783B">
        <w:rPr>
          <w:i/>
          <w:iCs/>
          <w:lang w:val="en-US"/>
        </w:rPr>
      </w:r>
      <w:r w:rsidRPr="0015783B">
        <w:rPr>
          <w:i/>
          <w:iCs/>
          <w:lang w:val="en-US"/>
        </w:rPr>
        <w:fldChar w:fldCharType="separate"/>
      </w:r>
      <w:r w:rsidR="00B61F22" w:rsidRPr="00AE4405">
        <w:rPr>
          <w:lang w:val="en-US"/>
        </w:rPr>
        <w:t xml:space="preserve">Figure </w:t>
      </w:r>
      <w:r w:rsidR="00B61F22">
        <w:rPr>
          <w:noProof/>
          <w:lang w:val="en-US"/>
        </w:rPr>
        <w:t>7</w:t>
      </w:r>
      <w:r w:rsidRPr="0015783B">
        <w:rPr>
          <w:i/>
          <w:iCs/>
          <w:lang w:val="en-US"/>
        </w:rPr>
        <w:fldChar w:fldCharType="end"/>
      </w:r>
      <w:r w:rsidRPr="001759B4">
        <w:rPr>
          <w:lang w:val="en-US"/>
        </w:rPr>
        <w:t xml:space="preserve"> </w:t>
      </w:r>
      <w:r w:rsidR="005D6977" w:rsidRPr="005D6977">
        <w:rPr>
          <w:lang w:val="en-US"/>
        </w:rPr>
        <w:t>illustrates the Gap Statistic validation used to determine the optimal number of clusters (</w:t>
      </w:r>
      <m:oMath>
        <m:r>
          <w:rPr>
            <w:rFonts w:ascii="Cambria Math" w:hAnsi="Cambria Math"/>
            <w:lang w:val="en-US"/>
          </w:rPr>
          <m:t>k</m:t>
        </m:r>
      </m:oMath>
      <w:r w:rsidR="005D6977" w:rsidRPr="005D6977">
        <w:rPr>
          <w:lang w:val="en-US"/>
        </w:rPr>
        <w:t xml:space="preserve">) for the sustainability dataset. The plot displays the Gap value—representing the difference between the intra-cluster dispersion of the observed data and that of a null reference distribution—against potential cluster counts ranging from </w:t>
      </w:r>
      <m:oMath>
        <m:r>
          <w:rPr>
            <w:rFonts w:ascii="Cambria Math" w:hAnsi="Cambria Math"/>
            <w:lang w:val="en-US"/>
          </w:rPr>
          <m:t>k=2</m:t>
        </m:r>
      </m:oMath>
      <w:r w:rsidR="005D6977" w:rsidRPr="005D6977">
        <w:rPr>
          <w:lang w:val="en-US"/>
        </w:rPr>
        <w:t xml:space="preserve"> to </w:t>
      </w:r>
      <m:oMath>
        <m:r>
          <w:rPr>
            <w:rFonts w:ascii="Cambria Math" w:hAnsi="Cambria Math"/>
            <w:lang w:val="en-US"/>
          </w:rPr>
          <m:t>k=10</m:t>
        </m:r>
      </m:oMath>
      <w:r w:rsidR="005D6977" w:rsidRPr="005D6977">
        <w:rPr>
          <w:lang w:val="en-US"/>
        </w:rPr>
        <w:t>. The error bars indicate the simulation-based standard error (</w:t>
      </w:r>
      <m:oMath>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k</m:t>
            </m:r>
          </m:sub>
        </m:sSub>
      </m:oMath>
      <w:r w:rsidR="005D6977" w:rsidRPr="005D6977">
        <w:rPr>
          <w:lang w:val="en-US"/>
        </w:rPr>
        <w:t xml:space="preserve">) for each value. </w:t>
      </w:r>
    </w:p>
    <w:p w14:paraId="472C8214" w14:textId="3F830D12" w:rsidR="001E71DB" w:rsidRDefault="001759B4" w:rsidP="001759B4">
      <w:pPr>
        <w:rPr>
          <w:lang w:val="en-US"/>
        </w:rPr>
      </w:pPr>
      <w:r w:rsidRPr="001759B4">
        <w:rPr>
          <w:lang w:val="en-US"/>
        </w:rPr>
        <w:t>.</w:t>
      </w:r>
    </w:p>
    <w:p w14:paraId="547D8E21" w14:textId="77777777" w:rsidR="009B5FE0" w:rsidRDefault="009B5FE0" w:rsidP="001759B4">
      <w:pPr>
        <w:rPr>
          <w:lang w:val="en-US"/>
        </w:rPr>
      </w:pPr>
    </w:p>
    <w:p w14:paraId="13A0EBB1" w14:textId="138E2AA0" w:rsidR="009B5FE0" w:rsidRPr="00AE4405" w:rsidRDefault="009B5FE0" w:rsidP="001759B4">
      <w:pPr>
        <w:rPr>
          <w:lang w:val="en-US"/>
        </w:rPr>
      </w:pPr>
      <w:r>
        <w:rPr>
          <w:noProof/>
          <w:lang w:val="en-US"/>
        </w:rPr>
        <w:lastRenderedPageBreak/>
        <w:drawing>
          <wp:inline distT="0" distB="0" distL="0" distR="0" wp14:anchorId="531D87BF" wp14:editId="1B87E066">
            <wp:extent cx="5608320" cy="3505200"/>
            <wp:effectExtent l="0" t="0" r="0" b="0"/>
            <wp:docPr id="154339595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395951" name="Imagen 8"/>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5608320" cy="3505200"/>
                    </a:xfrm>
                    <a:prstGeom prst="rect">
                      <a:avLst/>
                    </a:prstGeom>
                    <a:noFill/>
                    <a:ln>
                      <a:noFill/>
                    </a:ln>
                  </pic:spPr>
                </pic:pic>
              </a:graphicData>
            </a:graphic>
          </wp:inline>
        </w:drawing>
      </w:r>
    </w:p>
    <w:p w14:paraId="50F7E840" w14:textId="7A0CD721" w:rsidR="001E71DB" w:rsidRPr="00AE4405" w:rsidRDefault="001E71DB" w:rsidP="001E71DB">
      <w:pPr>
        <w:pStyle w:val="Descripcin"/>
        <w:rPr>
          <w:lang w:val="en-US"/>
        </w:rPr>
      </w:pPr>
      <w:bookmarkStart w:id="6" w:name="_Ref215566145"/>
      <w:r w:rsidRPr="00AE4405">
        <w:rPr>
          <w:lang w:val="en-US"/>
        </w:rPr>
        <w:t xml:space="preserve">Figure </w:t>
      </w:r>
      <w:r w:rsidRPr="00AE4405">
        <w:rPr>
          <w:lang w:val="en-US"/>
        </w:rPr>
        <w:fldChar w:fldCharType="begin"/>
      </w:r>
      <w:r w:rsidRPr="00AE4405">
        <w:rPr>
          <w:lang w:val="en-US"/>
        </w:rPr>
        <w:instrText xml:space="preserve"> SEQ Figure \* ARABIC </w:instrText>
      </w:r>
      <w:r w:rsidRPr="00AE4405">
        <w:rPr>
          <w:lang w:val="en-US"/>
        </w:rPr>
        <w:fldChar w:fldCharType="separate"/>
      </w:r>
      <w:r w:rsidR="00B61F22">
        <w:rPr>
          <w:noProof/>
          <w:lang w:val="en-US"/>
        </w:rPr>
        <w:t>7</w:t>
      </w:r>
      <w:r w:rsidRPr="00AE4405">
        <w:rPr>
          <w:lang w:val="en-US"/>
        </w:rPr>
        <w:fldChar w:fldCharType="end"/>
      </w:r>
      <w:bookmarkEnd w:id="6"/>
      <w:r w:rsidR="0015783B">
        <w:rPr>
          <w:lang w:val="en-US"/>
        </w:rPr>
        <w:t xml:space="preserve"> </w:t>
      </w:r>
      <w:r w:rsidR="009B5FE0">
        <w:rPr>
          <w:lang w:val="en-US"/>
        </w:rPr>
        <w:t>Gap statistics plot</w:t>
      </w:r>
    </w:p>
    <w:p w14:paraId="3648E892" w14:textId="77777777" w:rsidR="00236A0C" w:rsidRPr="001759B4" w:rsidRDefault="00236A0C" w:rsidP="0015783B">
      <w:pPr>
        <w:ind w:firstLine="0"/>
        <w:rPr>
          <w:lang w:val="en-US"/>
        </w:rPr>
      </w:pPr>
    </w:p>
    <w:p w14:paraId="6B5AA023" w14:textId="3623DAFB" w:rsidR="00236A0C" w:rsidRDefault="00236A0C" w:rsidP="000500A2">
      <w:pPr>
        <w:ind w:firstLine="0"/>
        <w:rPr>
          <w:lang w:val="en-US"/>
        </w:rPr>
      </w:pPr>
      <w:r w:rsidRPr="00236A0C">
        <w:rPr>
          <w:lang w:val="en-US"/>
        </w:rPr>
        <w:t>The resulting dendrogram (</w:t>
      </w:r>
      <w:r>
        <w:rPr>
          <w:lang w:val="en-US"/>
        </w:rPr>
        <w:fldChar w:fldCharType="begin"/>
      </w:r>
      <w:r>
        <w:rPr>
          <w:lang w:val="en-US"/>
        </w:rPr>
        <w:instrText xml:space="preserve"> REF _Ref215566235 \h </w:instrText>
      </w:r>
      <w:r>
        <w:rPr>
          <w:lang w:val="en-US"/>
        </w:rPr>
      </w:r>
      <w:r>
        <w:rPr>
          <w:lang w:val="en-US"/>
        </w:rPr>
        <w:fldChar w:fldCharType="separate"/>
      </w:r>
      <w:r w:rsidR="00B61F22" w:rsidRPr="00AE4405">
        <w:rPr>
          <w:lang w:val="en-US"/>
        </w:rPr>
        <w:t xml:space="preserve">Figure </w:t>
      </w:r>
      <w:r w:rsidR="00B61F22">
        <w:rPr>
          <w:noProof/>
          <w:lang w:val="en-US"/>
        </w:rPr>
        <w:t>8</w:t>
      </w:r>
      <w:r>
        <w:rPr>
          <w:lang w:val="en-US"/>
        </w:rPr>
        <w:fldChar w:fldCharType="end"/>
      </w:r>
      <w:r w:rsidRPr="00236A0C">
        <w:rPr>
          <w:lang w:val="en-US"/>
        </w:rPr>
        <w:t>), constructed using Ward’s method, visually confirms this bipartite structure. The tree creates a high-level split that separates the Member States into two clearly defined regimes based on their joint economic, environmental, and social distances.</w:t>
      </w:r>
    </w:p>
    <w:p w14:paraId="7993E5E2" w14:textId="09646281" w:rsidR="001E71DB" w:rsidRDefault="001E71DB" w:rsidP="000500A2">
      <w:pPr>
        <w:ind w:firstLine="0"/>
        <w:rPr>
          <w:lang w:val="en-US"/>
        </w:rPr>
      </w:pPr>
    </w:p>
    <w:p w14:paraId="533F9C72" w14:textId="5A753916" w:rsidR="001C6A98" w:rsidRPr="00AE4405" w:rsidRDefault="001C6A98" w:rsidP="000500A2">
      <w:pPr>
        <w:ind w:firstLine="0"/>
        <w:rPr>
          <w:lang w:val="en-US"/>
        </w:rPr>
      </w:pPr>
      <w:r>
        <w:rPr>
          <w:noProof/>
          <w:lang w:val="en-US"/>
        </w:rPr>
        <w:lastRenderedPageBreak/>
        <w:drawing>
          <wp:inline distT="0" distB="0" distL="0" distR="0" wp14:anchorId="3D830381" wp14:editId="078F3243">
            <wp:extent cx="5464454" cy="3278672"/>
            <wp:effectExtent l="0" t="0" r="3175" b="0"/>
            <wp:docPr id="178927174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271746" name="Imagen 7"/>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5468415" cy="3281049"/>
                    </a:xfrm>
                    <a:prstGeom prst="rect">
                      <a:avLst/>
                    </a:prstGeom>
                    <a:noFill/>
                    <a:ln>
                      <a:noFill/>
                    </a:ln>
                  </pic:spPr>
                </pic:pic>
              </a:graphicData>
            </a:graphic>
          </wp:inline>
        </w:drawing>
      </w:r>
    </w:p>
    <w:p w14:paraId="24680DF6" w14:textId="4D74EB0D" w:rsidR="001E71DB" w:rsidRPr="00AE4405" w:rsidRDefault="001E71DB" w:rsidP="001E71DB">
      <w:pPr>
        <w:pStyle w:val="Descripcin"/>
        <w:rPr>
          <w:lang w:val="en-US"/>
        </w:rPr>
      </w:pPr>
      <w:bookmarkStart w:id="7" w:name="_Ref215566235"/>
      <w:r w:rsidRPr="00AE4405">
        <w:rPr>
          <w:lang w:val="en-US"/>
        </w:rPr>
        <w:t xml:space="preserve">Figure </w:t>
      </w:r>
      <w:r w:rsidRPr="00AE4405">
        <w:rPr>
          <w:lang w:val="en-US"/>
        </w:rPr>
        <w:fldChar w:fldCharType="begin"/>
      </w:r>
      <w:r w:rsidRPr="00AE4405">
        <w:rPr>
          <w:lang w:val="en-US"/>
        </w:rPr>
        <w:instrText xml:space="preserve"> SEQ Figure \* ARABIC </w:instrText>
      </w:r>
      <w:r w:rsidRPr="00AE4405">
        <w:rPr>
          <w:lang w:val="en-US"/>
        </w:rPr>
        <w:fldChar w:fldCharType="separate"/>
      </w:r>
      <w:r w:rsidR="00B61F22">
        <w:rPr>
          <w:noProof/>
          <w:lang w:val="en-US"/>
        </w:rPr>
        <w:t>8</w:t>
      </w:r>
      <w:r w:rsidRPr="00AE4405">
        <w:rPr>
          <w:lang w:val="en-US"/>
        </w:rPr>
        <w:fldChar w:fldCharType="end"/>
      </w:r>
      <w:bookmarkEnd w:id="7"/>
      <w:r w:rsidR="000500A2">
        <w:rPr>
          <w:lang w:val="en-US"/>
        </w:rPr>
        <w:t xml:space="preserve"> </w:t>
      </w:r>
      <w:r w:rsidR="000500A2" w:rsidRPr="000500A2">
        <w:rPr>
          <w:lang w:val="en-US"/>
        </w:rPr>
        <w:t xml:space="preserve">Ward linkage dendrogram cut at the optimal </w:t>
      </w:r>
      <m:oMath>
        <m:r>
          <w:rPr>
            <w:rFonts w:ascii="Cambria Math" w:hAnsi="Cambria Math"/>
            <w:lang w:val="en-US"/>
          </w:rPr>
          <m:t>k</m:t>
        </m:r>
      </m:oMath>
    </w:p>
    <w:p w14:paraId="4AD033F6" w14:textId="77777777" w:rsidR="000926CB" w:rsidRPr="000926CB" w:rsidRDefault="000926CB" w:rsidP="000926CB">
      <w:pPr>
        <w:pStyle w:val="NormalWeb"/>
      </w:pPr>
      <w:r w:rsidRPr="000926CB">
        <w:t>Cluster characterization (Figures 9–10) clarifies the substantive meaning of this split:</w:t>
      </w:r>
    </w:p>
    <w:p w14:paraId="30664733" w14:textId="1EF25D5A" w:rsidR="000926CB" w:rsidRPr="000D13AD" w:rsidRDefault="000926CB" w:rsidP="000926CB">
      <w:pPr>
        <w:pStyle w:val="NormalWeb"/>
        <w:numPr>
          <w:ilvl w:val="0"/>
          <w:numId w:val="5"/>
        </w:numPr>
      </w:pPr>
      <w:r w:rsidRPr="000D13AD">
        <w:t xml:space="preserve">Cluster 1 (n = 7; MT, BG, CY, PT, IT, EL, ES) forms an </w:t>
      </w:r>
      <w:proofErr w:type="gramStart"/>
      <w:r w:rsidRPr="000D13AD">
        <w:t>economic-leaning</w:t>
      </w:r>
      <w:proofErr w:type="gramEnd"/>
      <w:r w:rsidRPr="000D13AD">
        <w:t xml:space="preserve"> but environmentally constrained regime. In the pairwise cluster scatter plots (</w:t>
      </w:r>
      <w:r w:rsidR="000D13AD" w:rsidRPr="000D13AD">
        <w:fldChar w:fldCharType="begin"/>
      </w:r>
      <w:r w:rsidR="000D13AD" w:rsidRPr="000D13AD">
        <w:instrText xml:space="preserve"> REF _Ref219922223 \h </w:instrText>
      </w:r>
      <w:r w:rsidR="000D13AD">
        <w:instrText xml:space="preserve"> \* MERGEFORMAT </w:instrText>
      </w:r>
      <w:r w:rsidR="000D13AD" w:rsidRPr="000D13AD">
        <w:fldChar w:fldCharType="separate"/>
      </w:r>
      <w:r w:rsidR="000D13AD" w:rsidRPr="000D13AD">
        <w:t xml:space="preserve">Figure </w:t>
      </w:r>
      <w:r w:rsidR="000D13AD" w:rsidRPr="000D13AD">
        <w:rPr>
          <w:noProof/>
        </w:rPr>
        <w:t>9</w:t>
      </w:r>
      <w:r w:rsidR="000D13AD" w:rsidRPr="000D13AD">
        <w:fldChar w:fldCharType="end"/>
      </w:r>
      <w:r w:rsidRPr="000D13AD">
        <w:t xml:space="preserve">), these countries concentrate </w:t>
      </w:r>
      <w:proofErr w:type="gramStart"/>
      <w:r w:rsidRPr="000D13AD">
        <w:t>at</w:t>
      </w:r>
      <w:proofErr w:type="gramEnd"/>
      <w:r w:rsidRPr="000D13AD">
        <w:t xml:space="preserve"> lower environmental scores—often paired with only moderate social outcomes—while maintaining comparatively stronger economic scores. The radar profile (</w:t>
      </w:r>
      <w:r w:rsidR="000D13AD" w:rsidRPr="000D13AD">
        <w:fldChar w:fldCharType="begin"/>
      </w:r>
      <w:r w:rsidR="000D13AD" w:rsidRPr="000D13AD">
        <w:instrText xml:space="preserve"> REF _Ref219922229 \h </w:instrText>
      </w:r>
      <w:r w:rsidR="000D13AD">
        <w:instrText xml:space="preserve"> \* MERGEFORMAT </w:instrText>
      </w:r>
      <w:r w:rsidR="000D13AD" w:rsidRPr="000D13AD">
        <w:fldChar w:fldCharType="separate"/>
      </w:r>
      <w:r w:rsidR="000D13AD" w:rsidRPr="000D13AD">
        <w:t xml:space="preserve">Figure </w:t>
      </w:r>
      <w:r w:rsidR="000D13AD" w:rsidRPr="000D13AD">
        <w:rPr>
          <w:noProof/>
        </w:rPr>
        <w:t>10</w:t>
      </w:r>
      <w:r w:rsidR="000D13AD" w:rsidRPr="000D13AD">
        <w:fldChar w:fldCharType="end"/>
      </w:r>
      <w:r w:rsidRPr="000D13AD">
        <w:t>) summarizes this pattern as higher mean economic performance coupled with lower mean environmental performance, consistent with a sustainability pathway that relies on economic output under relatively high resource and environmental pressure.</w:t>
      </w:r>
    </w:p>
    <w:p w14:paraId="5EC63968" w14:textId="77777777" w:rsidR="000926CB" w:rsidRPr="000D13AD" w:rsidRDefault="000926CB" w:rsidP="000926CB">
      <w:pPr>
        <w:pStyle w:val="NormalWeb"/>
        <w:numPr>
          <w:ilvl w:val="0"/>
          <w:numId w:val="5"/>
        </w:numPr>
      </w:pPr>
      <w:r w:rsidRPr="000D13AD">
        <w:t>Cluster 2 (n = 20) represents a broader environmental–social advantage regime. These Member States cluster at higher environmental scores and somewhat stronger social performance, but with more moderate economic outcomes on average. This group includes many Northern/Western systems as well as several Central/Eastern Member States, underscoring that the dominant separation is best interpreted as a contrast between environmental strength versus economic intensity, rather than a purely geographic North–South dichotomy.</w:t>
      </w:r>
    </w:p>
    <w:p w14:paraId="048E7D8F" w14:textId="1C7B51FA" w:rsidR="00A00887" w:rsidRPr="002E5B7C" w:rsidRDefault="00A00887" w:rsidP="00A00887">
      <w:pPr>
        <w:pStyle w:val="NormalWeb"/>
      </w:pPr>
      <w:r w:rsidRPr="002E5B7C">
        <w:t xml:space="preserve">The clear separation between the </w:t>
      </w:r>
      <w:proofErr w:type="gramStart"/>
      <w:r w:rsidRPr="002E5B7C">
        <w:t>Green and Blue</w:t>
      </w:r>
      <w:proofErr w:type="gramEnd"/>
      <w:r w:rsidRPr="002E5B7C">
        <w:t xml:space="preserve"> profiles </w:t>
      </w:r>
      <w:proofErr w:type="gramStart"/>
      <w:r w:rsidRPr="002E5B7C">
        <w:t>underscores</w:t>
      </w:r>
      <w:proofErr w:type="gramEnd"/>
      <w:r w:rsidRPr="002E5B7C">
        <w:t xml:space="preserve"> a persistent</w:t>
      </w:r>
      <w:r w:rsidR="00B6648B">
        <w:t xml:space="preserve"> division. </w:t>
      </w:r>
      <w:r w:rsidR="00B6648B" w:rsidRPr="00B6648B">
        <w:t xml:space="preserve">EU agricultural sustainability is best described as a landscape of systematic trade-offs with limited full </w:t>
      </w:r>
      <w:r w:rsidR="00954F9B">
        <w:t>development</w:t>
      </w:r>
      <w:r w:rsidR="00B6648B" w:rsidRPr="00B6648B">
        <w:t>, and a statistically supported two-regime structure that isolates a Mediterranean–Balkan cluster characterized by relatively stronger economic scores but weaker environmental performance.</w:t>
      </w:r>
    </w:p>
    <w:p w14:paraId="1476963C" w14:textId="77777777" w:rsidR="00A00887" w:rsidRPr="009B5FE0" w:rsidRDefault="00A00887" w:rsidP="00A00887">
      <w:pPr>
        <w:pStyle w:val="Descripcin"/>
        <w:rPr>
          <w:lang w:val="en-US"/>
        </w:rPr>
      </w:pPr>
    </w:p>
    <w:p w14:paraId="53D8CE4F" w14:textId="77777777" w:rsidR="00A00887" w:rsidRPr="009B5FE0" w:rsidRDefault="00A00887" w:rsidP="00A00887">
      <w:pPr>
        <w:rPr>
          <w:lang w:val="en-US"/>
        </w:rPr>
      </w:pPr>
    </w:p>
    <w:p w14:paraId="34B72BBD" w14:textId="076FA386" w:rsidR="00A00887" w:rsidRPr="00A00887" w:rsidRDefault="00CD26CF" w:rsidP="00A00887">
      <w:r>
        <w:rPr>
          <w:noProof/>
        </w:rPr>
        <w:drawing>
          <wp:inline distT="0" distB="0" distL="0" distR="0" wp14:anchorId="629CED3A" wp14:editId="25C166BD">
            <wp:extent cx="5600700" cy="5600700"/>
            <wp:effectExtent l="0" t="0" r="0" b="0"/>
            <wp:docPr id="118583021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830213" name="Imagen 3"/>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5600700" cy="5600700"/>
                    </a:xfrm>
                    <a:prstGeom prst="rect">
                      <a:avLst/>
                    </a:prstGeom>
                    <a:noFill/>
                    <a:ln>
                      <a:noFill/>
                    </a:ln>
                  </pic:spPr>
                </pic:pic>
              </a:graphicData>
            </a:graphic>
          </wp:inline>
        </w:drawing>
      </w:r>
    </w:p>
    <w:p w14:paraId="69738A7F" w14:textId="6FF7CF28" w:rsidR="00A00887" w:rsidRPr="00A00887" w:rsidRDefault="00A00887" w:rsidP="00A00887">
      <w:pPr>
        <w:pStyle w:val="Descripcin"/>
        <w:rPr>
          <w:lang w:val="en-US"/>
        </w:rPr>
      </w:pPr>
      <w:bookmarkStart w:id="8" w:name="_Ref219922223"/>
      <w:r w:rsidRPr="00A00887">
        <w:rPr>
          <w:lang w:val="en-US"/>
        </w:rPr>
        <w:t xml:space="preserve">Figure </w:t>
      </w:r>
      <w:r>
        <w:fldChar w:fldCharType="begin"/>
      </w:r>
      <w:r w:rsidRPr="00A00887">
        <w:rPr>
          <w:lang w:val="en-US"/>
        </w:rPr>
        <w:instrText xml:space="preserve"> SEQ Figure \* ARABIC </w:instrText>
      </w:r>
      <w:r>
        <w:fldChar w:fldCharType="separate"/>
      </w:r>
      <w:r w:rsidR="00B61F22">
        <w:rPr>
          <w:noProof/>
          <w:lang w:val="en-US"/>
        </w:rPr>
        <w:t>9</w:t>
      </w:r>
      <w:r>
        <w:fldChar w:fldCharType="end"/>
      </w:r>
      <w:bookmarkEnd w:id="8"/>
      <w:r w:rsidRPr="00A00887">
        <w:rPr>
          <w:lang w:val="en-US"/>
        </w:rPr>
        <w:t xml:space="preserve"> Pairwise score scatter plots colored by Cluster (Green = Cluster 1, Blue = Cluster 2).</w:t>
      </w:r>
    </w:p>
    <w:p w14:paraId="39D02144" w14:textId="021747C6" w:rsidR="00A00887" w:rsidRDefault="00774F08" w:rsidP="00A00887">
      <w:pPr>
        <w:pStyle w:val="NormalWeb"/>
        <w:rPr>
          <w:b/>
          <w:bCs/>
        </w:rPr>
      </w:pPr>
      <w:r>
        <w:rPr>
          <w:b/>
          <w:bCs/>
          <w:noProof/>
        </w:rPr>
        <w:lastRenderedPageBreak/>
        <w:drawing>
          <wp:inline distT="0" distB="0" distL="0" distR="0" wp14:anchorId="6869D589" wp14:editId="6169752F">
            <wp:extent cx="5610225" cy="4676683"/>
            <wp:effectExtent l="0" t="0" r="0" b="0"/>
            <wp:docPr id="106591169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911691" name="Imagen 9"/>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5610225" cy="4676683"/>
                    </a:xfrm>
                    <a:prstGeom prst="rect">
                      <a:avLst/>
                    </a:prstGeom>
                    <a:noFill/>
                    <a:ln>
                      <a:noFill/>
                    </a:ln>
                  </pic:spPr>
                </pic:pic>
              </a:graphicData>
            </a:graphic>
          </wp:inline>
        </w:drawing>
      </w:r>
    </w:p>
    <w:p w14:paraId="10952925" w14:textId="1CAEF095" w:rsidR="00A00887" w:rsidRPr="00590B39" w:rsidRDefault="00A00887" w:rsidP="00A00887">
      <w:pPr>
        <w:pStyle w:val="Descripcin"/>
        <w:rPr>
          <w:lang w:val="en-US"/>
        </w:rPr>
      </w:pPr>
      <w:bookmarkStart w:id="9" w:name="_Ref219922229"/>
      <w:r w:rsidRPr="00590B39">
        <w:rPr>
          <w:lang w:val="en-US"/>
        </w:rPr>
        <w:t xml:space="preserve">Figure </w:t>
      </w:r>
      <w:r>
        <w:fldChar w:fldCharType="begin"/>
      </w:r>
      <w:r w:rsidRPr="00590B39">
        <w:rPr>
          <w:lang w:val="en-US"/>
        </w:rPr>
        <w:instrText xml:space="preserve"> SEQ Figure \* ARABIC </w:instrText>
      </w:r>
      <w:r>
        <w:fldChar w:fldCharType="separate"/>
      </w:r>
      <w:r w:rsidR="00B61F22">
        <w:rPr>
          <w:noProof/>
          <w:lang w:val="en-US"/>
        </w:rPr>
        <w:t>10</w:t>
      </w:r>
      <w:r>
        <w:fldChar w:fldCharType="end"/>
      </w:r>
      <w:bookmarkEnd w:id="9"/>
      <w:r w:rsidR="00A72858" w:rsidRPr="00590B39">
        <w:rPr>
          <w:lang w:val="en-US"/>
        </w:rPr>
        <w:t xml:space="preserve"> </w:t>
      </w:r>
      <w:r w:rsidRPr="00590B39">
        <w:rPr>
          <w:lang w:val="en-US"/>
        </w:rPr>
        <w:t>Radar chart comparing the mean sustainability profiles of Cluster 1 (Green) and Cluster 2 (Blue).</w:t>
      </w:r>
    </w:p>
    <w:p w14:paraId="3512BC43" w14:textId="74652E17" w:rsidR="00C51A07" w:rsidRPr="00B047B6" w:rsidRDefault="00254952" w:rsidP="00254952">
      <w:pPr>
        <w:pStyle w:val="Ttulo1"/>
        <w:rPr>
          <w:lang w:val="de-DE"/>
        </w:rPr>
      </w:pPr>
      <w:r w:rsidRPr="00B047B6">
        <w:rPr>
          <w:lang w:val="de-DE"/>
        </w:rPr>
        <w:t>References</w:t>
      </w:r>
    </w:p>
    <w:sdt>
      <w:sdtPr>
        <w:rPr>
          <w:rFonts w:cs="Times New Roman"/>
          <w:color w:val="000000"/>
          <w:lang w:val="en-US"/>
        </w:rPr>
        <w:tag w:val="MENDELEY_BIBLIOGRAPHY"/>
        <w:id w:val="-60406824"/>
        <w:placeholder>
          <w:docPart w:val="DefaultPlaceholder_-1854013440"/>
        </w:placeholder>
      </w:sdtPr>
      <w:sdtContent>
        <w:p w14:paraId="51AF6816" w14:textId="77777777" w:rsidR="00805B6D" w:rsidRPr="00805B6D" w:rsidRDefault="00805B6D">
          <w:pPr>
            <w:autoSpaceDE w:val="0"/>
            <w:autoSpaceDN w:val="0"/>
            <w:ind w:hanging="480"/>
            <w:divId w:val="73624452"/>
            <w:rPr>
              <w:rFonts w:eastAsia="Times New Roman" w:cs="Times New Roman"/>
              <w:color w:val="000000"/>
              <w:kern w:val="0"/>
              <w:lang w:val="en-US"/>
              <w14:ligatures w14:val="none"/>
            </w:rPr>
          </w:pPr>
          <w:r w:rsidRPr="00805B6D">
            <w:rPr>
              <w:rFonts w:eastAsia="Times New Roman" w:cs="Times New Roman"/>
              <w:color w:val="000000"/>
              <w:lang w:val="de-DE"/>
            </w:rPr>
            <w:t xml:space="preserve">Dabkiene, V., Balezentis, T., &amp; Streimikiene, D. (2021). </w:t>
          </w:r>
          <w:r w:rsidRPr="00805B6D">
            <w:rPr>
              <w:rFonts w:eastAsia="Times New Roman" w:cs="Times New Roman"/>
              <w:color w:val="000000"/>
              <w:lang w:val="en-US"/>
            </w:rPr>
            <w:t xml:space="preserve">Development of agri-environmental footprint indicator using the FADN data: Tracking development of sustainable agricultural development in Eastern Europe. </w:t>
          </w:r>
          <w:r w:rsidRPr="00805B6D">
            <w:rPr>
              <w:rFonts w:eastAsia="Times New Roman" w:cs="Times New Roman"/>
              <w:i/>
              <w:iCs/>
              <w:color w:val="000000"/>
              <w:lang w:val="en-US"/>
            </w:rPr>
            <w:t>Sustainable Production and Consumption</w:t>
          </w:r>
          <w:r w:rsidRPr="00805B6D">
            <w:rPr>
              <w:rFonts w:eastAsia="Times New Roman" w:cs="Times New Roman"/>
              <w:color w:val="000000"/>
              <w:lang w:val="en-US"/>
            </w:rPr>
            <w:t xml:space="preserve">, </w:t>
          </w:r>
          <w:r w:rsidRPr="00805B6D">
            <w:rPr>
              <w:rFonts w:eastAsia="Times New Roman" w:cs="Times New Roman"/>
              <w:i/>
              <w:iCs/>
              <w:color w:val="000000"/>
              <w:lang w:val="en-US"/>
            </w:rPr>
            <w:t>27</w:t>
          </w:r>
          <w:r w:rsidRPr="00805B6D">
            <w:rPr>
              <w:rFonts w:eastAsia="Times New Roman" w:cs="Times New Roman"/>
              <w:color w:val="000000"/>
              <w:lang w:val="en-US"/>
            </w:rPr>
            <w:t>, 2121–2133. https://doi.org/10.1016/j.spc.2021.05.017</w:t>
          </w:r>
        </w:p>
        <w:p w14:paraId="5138F553" w14:textId="77777777" w:rsidR="00805B6D" w:rsidRPr="00805B6D" w:rsidRDefault="00805B6D">
          <w:pPr>
            <w:autoSpaceDE w:val="0"/>
            <w:autoSpaceDN w:val="0"/>
            <w:ind w:hanging="480"/>
            <w:divId w:val="2014532392"/>
            <w:rPr>
              <w:rFonts w:eastAsia="Times New Roman" w:cs="Times New Roman"/>
              <w:color w:val="000000"/>
              <w:lang w:val="en-US"/>
            </w:rPr>
          </w:pPr>
          <w:r w:rsidRPr="00805B6D">
            <w:rPr>
              <w:rFonts w:eastAsia="Times New Roman" w:cs="Times New Roman"/>
              <w:color w:val="000000"/>
              <w:lang w:val="en-US"/>
            </w:rPr>
            <w:t xml:space="preserve">Shannon, C. E. (1948). A Mathematical Theory of Communication. </w:t>
          </w:r>
          <w:r w:rsidRPr="00805B6D">
            <w:rPr>
              <w:rFonts w:eastAsia="Times New Roman" w:cs="Times New Roman"/>
              <w:i/>
              <w:iCs/>
              <w:color w:val="000000"/>
              <w:lang w:val="en-US"/>
            </w:rPr>
            <w:t>Bell System Technical Journal</w:t>
          </w:r>
          <w:r w:rsidRPr="00805B6D">
            <w:rPr>
              <w:rFonts w:eastAsia="Times New Roman" w:cs="Times New Roman"/>
              <w:color w:val="000000"/>
              <w:lang w:val="en-US"/>
            </w:rPr>
            <w:t xml:space="preserve">, </w:t>
          </w:r>
          <w:r w:rsidRPr="00805B6D">
            <w:rPr>
              <w:rFonts w:eastAsia="Times New Roman" w:cs="Times New Roman"/>
              <w:i/>
              <w:iCs/>
              <w:color w:val="000000"/>
              <w:lang w:val="en-US"/>
            </w:rPr>
            <w:t>27</w:t>
          </w:r>
          <w:r w:rsidRPr="00805B6D">
            <w:rPr>
              <w:rFonts w:eastAsia="Times New Roman" w:cs="Times New Roman"/>
              <w:color w:val="000000"/>
              <w:lang w:val="en-US"/>
            </w:rPr>
            <w:t>(3), 379–423. https://doi.org/10.1002/j.1538-7305.1948.tb01338.x</w:t>
          </w:r>
        </w:p>
        <w:p w14:paraId="1128491F" w14:textId="77777777" w:rsidR="00805B6D" w:rsidRPr="00805B6D" w:rsidRDefault="00805B6D">
          <w:pPr>
            <w:autoSpaceDE w:val="0"/>
            <w:autoSpaceDN w:val="0"/>
            <w:ind w:hanging="480"/>
            <w:divId w:val="1358309282"/>
            <w:rPr>
              <w:rFonts w:eastAsia="Times New Roman" w:cs="Times New Roman"/>
              <w:color w:val="000000"/>
              <w:lang w:val="en-US"/>
            </w:rPr>
          </w:pPr>
          <w:r w:rsidRPr="00805B6D">
            <w:rPr>
              <w:rFonts w:eastAsia="Times New Roman" w:cs="Times New Roman"/>
              <w:color w:val="000000"/>
              <w:lang w:val="de-DE"/>
            </w:rPr>
            <w:t xml:space="preserve">Tibshirani, R., Walther, G., &amp; Hastie, T. (2001). </w:t>
          </w:r>
          <w:r w:rsidRPr="00805B6D">
            <w:rPr>
              <w:rFonts w:eastAsia="Times New Roman" w:cs="Times New Roman"/>
              <w:color w:val="000000"/>
              <w:lang w:val="en-US"/>
            </w:rPr>
            <w:t xml:space="preserve">Estimating the Number of Clusters in a Data Set Via the Gap Statistic. </w:t>
          </w:r>
          <w:r w:rsidRPr="00805B6D">
            <w:rPr>
              <w:rFonts w:eastAsia="Times New Roman" w:cs="Times New Roman"/>
              <w:i/>
              <w:iCs/>
              <w:color w:val="000000"/>
              <w:lang w:val="en-US"/>
            </w:rPr>
            <w:t>Journal of the Royal Statistical Society Series B: Statistical Methodology</w:t>
          </w:r>
          <w:r w:rsidRPr="00805B6D">
            <w:rPr>
              <w:rFonts w:eastAsia="Times New Roman" w:cs="Times New Roman"/>
              <w:color w:val="000000"/>
              <w:lang w:val="en-US"/>
            </w:rPr>
            <w:t xml:space="preserve">, </w:t>
          </w:r>
          <w:r w:rsidRPr="00805B6D">
            <w:rPr>
              <w:rFonts w:eastAsia="Times New Roman" w:cs="Times New Roman"/>
              <w:i/>
              <w:iCs/>
              <w:color w:val="000000"/>
              <w:lang w:val="en-US"/>
            </w:rPr>
            <w:t>63</w:t>
          </w:r>
          <w:r w:rsidRPr="00805B6D">
            <w:rPr>
              <w:rFonts w:eastAsia="Times New Roman" w:cs="Times New Roman"/>
              <w:color w:val="000000"/>
              <w:lang w:val="en-US"/>
            </w:rPr>
            <w:t>(2), 411–423. https://doi.org/10.1111/1467-9868.00293</w:t>
          </w:r>
        </w:p>
        <w:p w14:paraId="5189E72D" w14:textId="77777777" w:rsidR="00805B6D" w:rsidRPr="00805B6D" w:rsidRDefault="00805B6D">
          <w:pPr>
            <w:autoSpaceDE w:val="0"/>
            <w:autoSpaceDN w:val="0"/>
            <w:ind w:hanging="480"/>
            <w:divId w:val="560211182"/>
            <w:rPr>
              <w:rFonts w:eastAsia="Times New Roman" w:cs="Times New Roman"/>
              <w:color w:val="000000"/>
            </w:rPr>
          </w:pPr>
          <w:r w:rsidRPr="00805B6D">
            <w:rPr>
              <w:rFonts w:eastAsia="Times New Roman" w:cs="Times New Roman"/>
              <w:color w:val="000000"/>
              <w:lang w:val="en-US"/>
            </w:rPr>
            <w:t xml:space="preserve">Ward, J. H. (1963). Hierarchical Grouping to Optimize an Objective Function. </w:t>
          </w:r>
          <w:proofErr w:type="spellStart"/>
          <w:r w:rsidRPr="00805B6D">
            <w:rPr>
              <w:rFonts w:eastAsia="Times New Roman" w:cs="Times New Roman"/>
              <w:i/>
              <w:iCs/>
              <w:color w:val="000000"/>
            </w:rPr>
            <w:t>Journal</w:t>
          </w:r>
          <w:proofErr w:type="spellEnd"/>
          <w:r w:rsidRPr="00805B6D">
            <w:rPr>
              <w:rFonts w:eastAsia="Times New Roman" w:cs="Times New Roman"/>
              <w:i/>
              <w:iCs/>
              <w:color w:val="000000"/>
            </w:rPr>
            <w:t xml:space="preserve"> </w:t>
          </w:r>
          <w:proofErr w:type="spellStart"/>
          <w:r w:rsidRPr="00805B6D">
            <w:rPr>
              <w:rFonts w:eastAsia="Times New Roman" w:cs="Times New Roman"/>
              <w:i/>
              <w:iCs/>
              <w:color w:val="000000"/>
            </w:rPr>
            <w:t>of</w:t>
          </w:r>
          <w:proofErr w:type="spellEnd"/>
          <w:r w:rsidRPr="00805B6D">
            <w:rPr>
              <w:rFonts w:eastAsia="Times New Roman" w:cs="Times New Roman"/>
              <w:i/>
              <w:iCs/>
              <w:color w:val="000000"/>
            </w:rPr>
            <w:t xml:space="preserve"> </w:t>
          </w:r>
          <w:proofErr w:type="spellStart"/>
          <w:r w:rsidRPr="00805B6D">
            <w:rPr>
              <w:rFonts w:eastAsia="Times New Roman" w:cs="Times New Roman"/>
              <w:i/>
              <w:iCs/>
              <w:color w:val="000000"/>
            </w:rPr>
            <w:t>the</w:t>
          </w:r>
          <w:proofErr w:type="spellEnd"/>
          <w:r w:rsidRPr="00805B6D">
            <w:rPr>
              <w:rFonts w:eastAsia="Times New Roman" w:cs="Times New Roman"/>
              <w:i/>
              <w:iCs/>
              <w:color w:val="000000"/>
            </w:rPr>
            <w:t xml:space="preserve"> American </w:t>
          </w:r>
          <w:proofErr w:type="spellStart"/>
          <w:r w:rsidRPr="00805B6D">
            <w:rPr>
              <w:rFonts w:eastAsia="Times New Roman" w:cs="Times New Roman"/>
              <w:i/>
              <w:iCs/>
              <w:color w:val="000000"/>
            </w:rPr>
            <w:t>Statistical</w:t>
          </w:r>
          <w:proofErr w:type="spellEnd"/>
          <w:r w:rsidRPr="00805B6D">
            <w:rPr>
              <w:rFonts w:eastAsia="Times New Roman" w:cs="Times New Roman"/>
              <w:i/>
              <w:iCs/>
              <w:color w:val="000000"/>
            </w:rPr>
            <w:t xml:space="preserve"> </w:t>
          </w:r>
          <w:proofErr w:type="spellStart"/>
          <w:r w:rsidRPr="00805B6D">
            <w:rPr>
              <w:rFonts w:eastAsia="Times New Roman" w:cs="Times New Roman"/>
              <w:i/>
              <w:iCs/>
              <w:color w:val="000000"/>
            </w:rPr>
            <w:t>Association</w:t>
          </w:r>
          <w:proofErr w:type="spellEnd"/>
          <w:r w:rsidRPr="00805B6D">
            <w:rPr>
              <w:rFonts w:eastAsia="Times New Roman" w:cs="Times New Roman"/>
              <w:color w:val="000000"/>
            </w:rPr>
            <w:t xml:space="preserve">, </w:t>
          </w:r>
          <w:r w:rsidRPr="00805B6D">
            <w:rPr>
              <w:rFonts w:eastAsia="Times New Roman" w:cs="Times New Roman"/>
              <w:i/>
              <w:iCs/>
              <w:color w:val="000000"/>
            </w:rPr>
            <w:t>58</w:t>
          </w:r>
          <w:r w:rsidRPr="00805B6D">
            <w:rPr>
              <w:rFonts w:eastAsia="Times New Roman" w:cs="Times New Roman"/>
              <w:color w:val="000000"/>
            </w:rPr>
            <w:t>(301). https://doi.org/10.1080/01621459.1963.10500845</w:t>
          </w:r>
        </w:p>
        <w:p w14:paraId="49BF4413" w14:textId="32769D0A" w:rsidR="00254952" w:rsidRPr="00254952" w:rsidRDefault="00805B6D" w:rsidP="00254952">
          <w:pPr>
            <w:rPr>
              <w:lang w:val="en-US"/>
            </w:rPr>
          </w:pPr>
          <w:r w:rsidRPr="00805B6D">
            <w:rPr>
              <w:rFonts w:eastAsia="Times New Roman" w:cs="Times New Roman"/>
              <w:color w:val="000000"/>
            </w:rPr>
            <w:t> </w:t>
          </w:r>
        </w:p>
      </w:sdtContent>
    </w:sdt>
    <w:sectPr w:rsidR="00254952" w:rsidRPr="0025495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73D04"/>
    <w:multiLevelType w:val="multilevel"/>
    <w:tmpl w:val="FD3EF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E44D23"/>
    <w:multiLevelType w:val="hybridMultilevel"/>
    <w:tmpl w:val="A2FE61FE"/>
    <w:lvl w:ilvl="0" w:tplc="A8B2554A">
      <w:start w:val="1"/>
      <w:numFmt w:val="decimal"/>
      <w:lvlText w:val="%1."/>
      <w:lvlJc w:val="left"/>
      <w:pPr>
        <w:ind w:left="1778" w:hanging="360"/>
      </w:pPr>
    </w:lvl>
    <w:lvl w:ilvl="1" w:tplc="7B9C8C62">
      <w:start w:val="1"/>
      <w:numFmt w:val="lowerLetter"/>
      <w:lvlText w:val="%2."/>
      <w:lvlJc w:val="left"/>
      <w:pPr>
        <w:ind w:left="2498" w:hanging="360"/>
      </w:pPr>
    </w:lvl>
    <w:lvl w:ilvl="2" w:tplc="1AB04698">
      <w:start w:val="1"/>
      <w:numFmt w:val="lowerRoman"/>
      <w:lvlText w:val="%3."/>
      <w:lvlJc w:val="right"/>
      <w:pPr>
        <w:ind w:left="3218" w:hanging="180"/>
      </w:pPr>
    </w:lvl>
    <w:lvl w:ilvl="3" w:tplc="91365800">
      <w:start w:val="1"/>
      <w:numFmt w:val="decimal"/>
      <w:lvlText w:val="%4."/>
      <w:lvlJc w:val="left"/>
      <w:pPr>
        <w:ind w:left="3938" w:hanging="360"/>
      </w:pPr>
    </w:lvl>
    <w:lvl w:ilvl="4" w:tplc="593A6330">
      <w:start w:val="1"/>
      <w:numFmt w:val="lowerLetter"/>
      <w:lvlText w:val="%5."/>
      <w:lvlJc w:val="left"/>
      <w:pPr>
        <w:ind w:left="4658" w:hanging="360"/>
      </w:pPr>
    </w:lvl>
    <w:lvl w:ilvl="5" w:tplc="B4269DB6">
      <w:start w:val="1"/>
      <w:numFmt w:val="lowerRoman"/>
      <w:lvlText w:val="%6."/>
      <w:lvlJc w:val="right"/>
      <w:pPr>
        <w:ind w:left="5378" w:hanging="180"/>
      </w:pPr>
    </w:lvl>
    <w:lvl w:ilvl="6" w:tplc="CD6638C2">
      <w:start w:val="1"/>
      <w:numFmt w:val="decimal"/>
      <w:lvlText w:val="%7."/>
      <w:lvlJc w:val="left"/>
      <w:pPr>
        <w:ind w:left="6098" w:hanging="360"/>
      </w:pPr>
    </w:lvl>
    <w:lvl w:ilvl="7" w:tplc="F2309FEA">
      <w:start w:val="1"/>
      <w:numFmt w:val="lowerLetter"/>
      <w:lvlText w:val="%8."/>
      <w:lvlJc w:val="left"/>
      <w:pPr>
        <w:ind w:left="6818" w:hanging="360"/>
      </w:pPr>
    </w:lvl>
    <w:lvl w:ilvl="8" w:tplc="684A3FE8">
      <w:start w:val="1"/>
      <w:numFmt w:val="lowerRoman"/>
      <w:lvlText w:val="%9."/>
      <w:lvlJc w:val="right"/>
      <w:pPr>
        <w:ind w:left="7538" w:hanging="180"/>
      </w:pPr>
    </w:lvl>
  </w:abstractNum>
  <w:abstractNum w:abstractNumId="2" w15:restartNumberingAfterBreak="0">
    <w:nsid w:val="62EE72D7"/>
    <w:multiLevelType w:val="hybridMultilevel"/>
    <w:tmpl w:val="FBAA331A"/>
    <w:lvl w:ilvl="0" w:tplc="F06CE81C">
      <w:start w:val="1"/>
      <w:numFmt w:val="bullet"/>
      <w:lvlText w:val=""/>
      <w:lvlJc w:val="left"/>
      <w:pPr>
        <w:ind w:left="1778" w:hanging="360"/>
      </w:pPr>
      <w:rPr>
        <w:rFonts w:ascii="Symbol" w:hAnsi="Symbol" w:hint="default"/>
      </w:rPr>
    </w:lvl>
    <w:lvl w:ilvl="1" w:tplc="259C1578">
      <w:start w:val="1"/>
      <w:numFmt w:val="bullet"/>
      <w:lvlText w:val="o"/>
      <w:lvlJc w:val="left"/>
      <w:pPr>
        <w:ind w:left="2498" w:hanging="360"/>
      </w:pPr>
      <w:rPr>
        <w:rFonts w:ascii="Courier New" w:hAnsi="Courier New" w:hint="default"/>
      </w:rPr>
    </w:lvl>
    <w:lvl w:ilvl="2" w:tplc="FF4A5E70">
      <w:start w:val="1"/>
      <w:numFmt w:val="bullet"/>
      <w:lvlText w:val=""/>
      <w:lvlJc w:val="left"/>
      <w:pPr>
        <w:ind w:left="3218" w:hanging="360"/>
      </w:pPr>
      <w:rPr>
        <w:rFonts w:ascii="Wingdings" w:hAnsi="Wingdings" w:hint="default"/>
      </w:rPr>
    </w:lvl>
    <w:lvl w:ilvl="3" w:tplc="865CD770">
      <w:start w:val="1"/>
      <w:numFmt w:val="bullet"/>
      <w:lvlText w:val=""/>
      <w:lvlJc w:val="left"/>
      <w:pPr>
        <w:ind w:left="3938" w:hanging="360"/>
      </w:pPr>
      <w:rPr>
        <w:rFonts w:ascii="Symbol" w:hAnsi="Symbol" w:hint="default"/>
      </w:rPr>
    </w:lvl>
    <w:lvl w:ilvl="4" w:tplc="8A20967A">
      <w:start w:val="1"/>
      <w:numFmt w:val="bullet"/>
      <w:lvlText w:val="o"/>
      <w:lvlJc w:val="left"/>
      <w:pPr>
        <w:ind w:left="4658" w:hanging="360"/>
      </w:pPr>
      <w:rPr>
        <w:rFonts w:ascii="Courier New" w:hAnsi="Courier New" w:hint="default"/>
      </w:rPr>
    </w:lvl>
    <w:lvl w:ilvl="5" w:tplc="6B4814F2">
      <w:start w:val="1"/>
      <w:numFmt w:val="bullet"/>
      <w:lvlText w:val=""/>
      <w:lvlJc w:val="left"/>
      <w:pPr>
        <w:ind w:left="5378" w:hanging="360"/>
      </w:pPr>
      <w:rPr>
        <w:rFonts w:ascii="Wingdings" w:hAnsi="Wingdings" w:hint="default"/>
      </w:rPr>
    </w:lvl>
    <w:lvl w:ilvl="6" w:tplc="CA06CF0C">
      <w:start w:val="1"/>
      <w:numFmt w:val="bullet"/>
      <w:lvlText w:val=""/>
      <w:lvlJc w:val="left"/>
      <w:pPr>
        <w:ind w:left="6098" w:hanging="360"/>
      </w:pPr>
      <w:rPr>
        <w:rFonts w:ascii="Symbol" w:hAnsi="Symbol" w:hint="default"/>
      </w:rPr>
    </w:lvl>
    <w:lvl w:ilvl="7" w:tplc="9A6CCA90">
      <w:start w:val="1"/>
      <w:numFmt w:val="bullet"/>
      <w:lvlText w:val="o"/>
      <w:lvlJc w:val="left"/>
      <w:pPr>
        <w:ind w:left="6818" w:hanging="360"/>
      </w:pPr>
      <w:rPr>
        <w:rFonts w:ascii="Courier New" w:hAnsi="Courier New" w:hint="default"/>
      </w:rPr>
    </w:lvl>
    <w:lvl w:ilvl="8" w:tplc="816EEE9A">
      <w:start w:val="1"/>
      <w:numFmt w:val="bullet"/>
      <w:lvlText w:val=""/>
      <w:lvlJc w:val="left"/>
      <w:pPr>
        <w:ind w:left="7538" w:hanging="360"/>
      </w:pPr>
      <w:rPr>
        <w:rFonts w:ascii="Wingdings" w:hAnsi="Wingdings" w:hint="default"/>
      </w:rPr>
    </w:lvl>
  </w:abstractNum>
  <w:abstractNum w:abstractNumId="3" w15:restartNumberingAfterBreak="0">
    <w:nsid w:val="6F380228"/>
    <w:multiLevelType w:val="multilevel"/>
    <w:tmpl w:val="DEDAF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28872B"/>
    <w:multiLevelType w:val="hybridMultilevel"/>
    <w:tmpl w:val="25B4E364"/>
    <w:lvl w:ilvl="0" w:tplc="270C5AA8">
      <w:start w:val="1"/>
      <w:numFmt w:val="decimal"/>
      <w:lvlText w:val="%1."/>
      <w:lvlJc w:val="left"/>
      <w:pPr>
        <w:ind w:left="1778" w:hanging="360"/>
      </w:pPr>
    </w:lvl>
    <w:lvl w:ilvl="1" w:tplc="371EFA0E">
      <w:start w:val="1"/>
      <w:numFmt w:val="lowerLetter"/>
      <w:lvlText w:val="%2."/>
      <w:lvlJc w:val="left"/>
      <w:pPr>
        <w:ind w:left="2498" w:hanging="360"/>
      </w:pPr>
    </w:lvl>
    <w:lvl w:ilvl="2" w:tplc="93AA698E">
      <w:start w:val="1"/>
      <w:numFmt w:val="lowerRoman"/>
      <w:lvlText w:val="%3."/>
      <w:lvlJc w:val="right"/>
      <w:pPr>
        <w:ind w:left="3218" w:hanging="180"/>
      </w:pPr>
    </w:lvl>
    <w:lvl w:ilvl="3" w:tplc="F87671CA">
      <w:start w:val="1"/>
      <w:numFmt w:val="decimal"/>
      <w:lvlText w:val="%4."/>
      <w:lvlJc w:val="left"/>
      <w:pPr>
        <w:ind w:left="3938" w:hanging="360"/>
      </w:pPr>
    </w:lvl>
    <w:lvl w:ilvl="4" w:tplc="F4701F94">
      <w:start w:val="1"/>
      <w:numFmt w:val="lowerLetter"/>
      <w:lvlText w:val="%5."/>
      <w:lvlJc w:val="left"/>
      <w:pPr>
        <w:ind w:left="4658" w:hanging="360"/>
      </w:pPr>
    </w:lvl>
    <w:lvl w:ilvl="5" w:tplc="E0942CB0">
      <w:start w:val="1"/>
      <w:numFmt w:val="lowerRoman"/>
      <w:lvlText w:val="%6."/>
      <w:lvlJc w:val="right"/>
      <w:pPr>
        <w:ind w:left="5378" w:hanging="180"/>
      </w:pPr>
    </w:lvl>
    <w:lvl w:ilvl="6" w:tplc="D1821B7C">
      <w:start w:val="1"/>
      <w:numFmt w:val="decimal"/>
      <w:lvlText w:val="%7."/>
      <w:lvlJc w:val="left"/>
      <w:pPr>
        <w:ind w:left="6098" w:hanging="360"/>
      </w:pPr>
    </w:lvl>
    <w:lvl w:ilvl="7" w:tplc="D8641544">
      <w:start w:val="1"/>
      <w:numFmt w:val="lowerLetter"/>
      <w:lvlText w:val="%8."/>
      <w:lvlJc w:val="left"/>
      <w:pPr>
        <w:ind w:left="6818" w:hanging="360"/>
      </w:pPr>
    </w:lvl>
    <w:lvl w:ilvl="8" w:tplc="510ED758">
      <w:start w:val="1"/>
      <w:numFmt w:val="lowerRoman"/>
      <w:lvlText w:val="%9."/>
      <w:lvlJc w:val="right"/>
      <w:pPr>
        <w:ind w:left="7538" w:hanging="180"/>
      </w:pPr>
    </w:lvl>
  </w:abstractNum>
  <w:num w:numId="1" w16cid:durableId="1182814940">
    <w:abstractNumId w:val="2"/>
  </w:num>
  <w:num w:numId="2" w16cid:durableId="19477978">
    <w:abstractNumId w:val="1"/>
  </w:num>
  <w:num w:numId="3" w16cid:durableId="1109740329">
    <w:abstractNumId w:val="4"/>
  </w:num>
  <w:num w:numId="4" w16cid:durableId="2103993266">
    <w:abstractNumId w:val="3"/>
  </w:num>
  <w:num w:numId="5" w16cid:durableId="1738936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DY1NDMxMTcxMDc3tzRV0lEKTi0uzszPAykwrAUAh+2SbywAAAA="/>
  </w:docVars>
  <w:rsids>
    <w:rsidRoot w:val="00395439"/>
    <w:rsid w:val="0002043C"/>
    <w:rsid w:val="00020A83"/>
    <w:rsid w:val="00027B20"/>
    <w:rsid w:val="000500A2"/>
    <w:rsid w:val="0006585D"/>
    <w:rsid w:val="00086E32"/>
    <w:rsid w:val="000926CB"/>
    <w:rsid w:val="00095934"/>
    <w:rsid w:val="000A1B3C"/>
    <w:rsid w:val="000A2396"/>
    <w:rsid w:val="000D13AD"/>
    <w:rsid w:val="000E01CD"/>
    <w:rsid w:val="000F1514"/>
    <w:rsid w:val="000F3BCF"/>
    <w:rsid w:val="00115E93"/>
    <w:rsid w:val="0012540F"/>
    <w:rsid w:val="00150523"/>
    <w:rsid w:val="00150D94"/>
    <w:rsid w:val="00152299"/>
    <w:rsid w:val="0015783B"/>
    <w:rsid w:val="001759B4"/>
    <w:rsid w:val="00180C36"/>
    <w:rsid w:val="001849A1"/>
    <w:rsid w:val="001C6449"/>
    <w:rsid w:val="001C6A98"/>
    <w:rsid w:val="001D5C66"/>
    <w:rsid w:val="001E71DB"/>
    <w:rsid w:val="001F2177"/>
    <w:rsid w:val="001F44EE"/>
    <w:rsid w:val="00236A0C"/>
    <w:rsid w:val="00241BB5"/>
    <w:rsid w:val="00244F87"/>
    <w:rsid w:val="00254952"/>
    <w:rsid w:val="00265AA9"/>
    <w:rsid w:val="002721BE"/>
    <w:rsid w:val="0027487F"/>
    <w:rsid w:val="00280918"/>
    <w:rsid w:val="002866E4"/>
    <w:rsid w:val="00292F28"/>
    <w:rsid w:val="00293010"/>
    <w:rsid w:val="002D1573"/>
    <w:rsid w:val="002D70C4"/>
    <w:rsid w:val="002E3AB5"/>
    <w:rsid w:val="002E4BA4"/>
    <w:rsid w:val="002E5B7C"/>
    <w:rsid w:val="00310778"/>
    <w:rsid w:val="00352D05"/>
    <w:rsid w:val="003569D5"/>
    <w:rsid w:val="0036037D"/>
    <w:rsid w:val="00386F12"/>
    <w:rsid w:val="003903D3"/>
    <w:rsid w:val="003927C6"/>
    <w:rsid w:val="00395439"/>
    <w:rsid w:val="00396720"/>
    <w:rsid w:val="003A3319"/>
    <w:rsid w:val="003B33AF"/>
    <w:rsid w:val="003E0A0F"/>
    <w:rsid w:val="004175C2"/>
    <w:rsid w:val="00427547"/>
    <w:rsid w:val="00441643"/>
    <w:rsid w:val="004473CB"/>
    <w:rsid w:val="00476F36"/>
    <w:rsid w:val="00477703"/>
    <w:rsid w:val="004A60ED"/>
    <w:rsid w:val="004A7C59"/>
    <w:rsid w:val="004B22A9"/>
    <w:rsid w:val="004E6AF1"/>
    <w:rsid w:val="00502257"/>
    <w:rsid w:val="005374A2"/>
    <w:rsid w:val="00537574"/>
    <w:rsid w:val="0054345C"/>
    <w:rsid w:val="00545EA0"/>
    <w:rsid w:val="005566C4"/>
    <w:rsid w:val="00565E7B"/>
    <w:rsid w:val="00571B76"/>
    <w:rsid w:val="00572D90"/>
    <w:rsid w:val="00573709"/>
    <w:rsid w:val="005772C6"/>
    <w:rsid w:val="00577832"/>
    <w:rsid w:val="00581F49"/>
    <w:rsid w:val="00590B39"/>
    <w:rsid w:val="005A36DA"/>
    <w:rsid w:val="005B3E21"/>
    <w:rsid w:val="005D2248"/>
    <w:rsid w:val="005D6977"/>
    <w:rsid w:val="005E2917"/>
    <w:rsid w:val="005E466C"/>
    <w:rsid w:val="00606CF3"/>
    <w:rsid w:val="00617C24"/>
    <w:rsid w:val="0062714A"/>
    <w:rsid w:val="006523FA"/>
    <w:rsid w:val="00655C2C"/>
    <w:rsid w:val="006766A6"/>
    <w:rsid w:val="006A6B9C"/>
    <w:rsid w:val="006D3F25"/>
    <w:rsid w:val="00714FE2"/>
    <w:rsid w:val="00747C4D"/>
    <w:rsid w:val="00756117"/>
    <w:rsid w:val="00774F08"/>
    <w:rsid w:val="0078687E"/>
    <w:rsid w:val="007B7064"/>
    <w:rsid w:val="007E3C16"/>
    <w:rsid w:val="0080416C"/>
    <w:rsid w:val="00805B6D"/>
    <w:rsid w:val="00815F50"/>
    <w:rsid w:val="0081738D"/>
    <w:rsid w:val="00832581"/>
    <w:rsid w:val="00837501"/>
    <w:rsid w:val="00851D5A"/>
    <w:rsid w:val="00867984"/>
    <w:rsid w:val="008717B4"/>
    <w:rsid w:val="0088067B"/>
    <w:rsid w:val="00880724"/>
    <w:rsid w:val="008C28D6"/>
    <w:rsid w:val="008C2AC1"/>
    <w:rsid w:val="008C6BBF"/>
    <w:rsid w:val="008C7746"/>
    <w:rsid w:val="008D606B"/>
    <w:rsid w:val="008E61C6"/>
    <w:rsid w:val="00904D6B"/>
    <w:rsid w:val="00934394"/>
    <w:rsid w:val="009370B1"/>
    <w:rsid w:val="00944732"/>
    <w:rsid w:val="00954F9B"/>
    <w:rsid w:val="0096062B"/>
    <w:rsid w:val="00981657"/>
    <w:rsid w:val="00984F51"/>
    <w:rsid w:val="00996868"/>
    <w:rsid w:val="009A16C4"/>
    <w:rsid w:val="009B5FE0"/>
    <w:rsid w:val="009C2BCD"/>
    <w:rsid w:val="009D4104"/>
    <w:rsid w:val="009E0093"/>
    <w:rsid w:val="00A00887"/>
    <w:rsid w:val="00A0219D"/>
    <w:rsid w:val="00A10DE7"/>
    <w:rsid w:val="00A376B1"/>
    <w:rsid w:val="00A4167E"/>
    <w:rsid w:val="00A5112F"/>
    <w:rsid w:val="00A51F58"/>
    <w:rsid w:val="00A553EC"/>
    <w:rsid w:val="00A62069"/>
    <w:rsid w:val="00A62243"/>
    <w:rsid w:val="00A72858"/>
    <w:rsid w:val="00A92091"/>
    <w:rsid w:val="00AB2907"/>
    <w:rsid w:val="00AC4A21"/>
    <w:rsid w:val="00AC6EF4"/>
    <w:rsid w:val="00AE2CB2"/>
    <w:rsid w:val="00AE4405"/>
    <w:rsid w:val="00AE70EF"/>
    <w:rsid w:val="00AF4EC4"/>
    <w:rsid w:val="00B047B6"/>
    <w:rsid w:val="00B24FA2"/>
    <w:rsid w:val="00B50223"/>
    <w:rsid w:val="00B61781"/>
    <w:rsid w:val="00B61F22"/>
    <w:rsid w:val="00B6648B"/>
    <w:rsid w:val="00B96CA0"/>
    <w:rsid w:val="00BB1F3E"/>
    <w:rsid w:val="00BC55DB"/>
    <w:rsid w:val="00BD1A76"/>
    <w:rsid w:val="00BD41C5"/>
    <w:rsid w:val="00BE0A64"/>
    <w:rsid w:val="00BE444D"/>
    <w:rsid w:val="00BF75BD"/>
    <w:rsid w:val="00C30463"/>
    <w:rsid w:val="00C51A07"/>
    <w:rsid w:val="00C60357"/>
    <w:rsid w:val="00C6394F"/>
    <w:rsid w:val="00C94C8A"/>
    <w:rsid w:val="00C96E33"/>
    <w:rsid w:val="00C978A3"/>
    <w:rsid w:val="00CA08C4"/>
    <w:rsid w:val="00CB1372"/>
    <w:rsid w:val="00CB35B3"/>
    <w:rsid w:val="00CC0FC3"/>
    <w:rsid w:val="00CD26CF"/>
    <w:rsid w:val="00CD2E04"/>
    <w:rsid w:val="00CF4D2A"/>
    <w:rsid w:val="00D00985"/>
    <w:rsid w:val="00D04872"/>
    <w:rsid w:val="00D0649C"/>
    <w:rsid w:val="00D1280D"/>
    <w:rsid w:val="00D15138"/>
    <w:rsid w:val="00D153C0"/>
    <w:rsid w:val="00D638DD"/>
    <w:rsid w:val="00D7205E"/>
    <w:rsid w:val="00D7314C"/>
    <w:rsid w:val="00DA506E"/>
    <w:rsid w:val="00DD74EF"/>
    <w:rsid w:val="00DE05E9"/>
    <w:rsid w:val="00DE662F"/>
    <w:rsid w:val="00DE6AD9"/>
    <w:rsid w:val="00DF7AB0"/>
    <w:rsid w:val="00E0411E"/>
    <w:rsid w:val="00E32E10"/>
    <w:rsid w:val="00E41019"/>
    <w:rsid w:val="00E50690"/>
    <w:rsid w:val="00E829CE"/>
    <w:rsid w:val="00E975EC"/>
    <w:rsid w:val="00EB700B"/>
    <w:rsid w:val="00EE2AF4"/>
    <w:rsid w:val="00EF5390"/>
    <w:rsid w:val="00F028E8"/>
    <w:rsid w:val="00F1204E"/>
    <w:rsid w:val="00F25F32"/>
    <w:rsid w:val="00F31612"/>
    <w:rsid w:val="00F351FC"/>
    <w:rsid w:val="00F37965"/>
    <w:rsid w:val="00F37DF4"/>
    <w:rsid w:val="00F47A2D"/>
    <w:rsid w:val="00F50D9B"/>
    <w:rsid w:val="00F62C81"/>
    <w:rsid w:val="00F76F7C"/>
    <w:rsid w:val="00F838E2"/>
    <w:rsid w:val="00FC5BE7"/>
    <w:rsid w:val="00FD0A1E"/>
    <w:rsid w:val="00FD54D7"/>
    <w:rsid w:val="00FF039C"/>
    <w:rsid w:val="110D96E9"/>
    <w:rsid w:val="26EBA45C"/>
    <w:rsid w:val="5AFC4FAC"/>
    <w:rsid w:val="660A79FB"/>
    <w:rsid w:val="71B3A41F"/>
    <w:rsid w:val="7F503041"/>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3841D8"/>
  <w15:chartTrackingRefBased/>
  <w15:docId w15:val="{2541A5CC-56F8-4AC5-823C-A2222BCED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0690"/>
    <w:pPr>
      <w:spacing w:before="120" w:after="120" w:line="240" w:lineRule="auto"/>
      <w:ind w:firstLine="709"/>
    </w:pPr>
    <w:rPr>
      <w:rFonts w:ascii="Times New Roman" w:hAnsi="Times New Roman"/>
    </w:rPr>
  </w:style>
  <w:style w:type="paragraph" w:styleId="Ttulo1">
    <w:name w:val="heading 1"/>
    <w:basedOn w:val="Normal"/>
    <w:next w:val="Normal"/>
    <w:link w:val="Ttulo1Car"/>
    <w:uiPriority w:val="9"/>
    <w:qFormat/>
    <w:rsid w:val="003954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3954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39543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9543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9543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9543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9543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9543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9543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9543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39543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39543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9543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9543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9543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9543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9543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95439"/>
    <w:rPr>
      <w:rFonts w:eastAsiaTheme="majorEastAsia" w:cstheme="majorBidi"/>
      <w:color w:val="272727" w:themeColor="text1" w:themeTint="D8"/>
    </w:rPr>
  </w:style>
  <w:style w:type="paragraph" w:styleId="Ttulo">
    <w:name w:val="Title"/>
    <w:basedOn w:val="Normal"/>
    <w:next w:val="Normal"/>
    <w:link w:val="TtuloCar"/>
    <w:uiPriority w:val="10"/>
    <w:qFormat/>
    <w:rsid w:val="00395439"/>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9543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95439"/>
    <w:pPr>
      <w:numPr>
        <w:ilvl w:val="1"/>
      </w:numPr>
      <w:ind w:firstLine="709"/>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95439"/>
    <w:rPr>
      <w:rFonts w:ascii="Times New Roman" w:eastAsiaTheme="majorEastAsia" w:hAnsi="Times New Roman" w:cstheme="majorBidi"/>
      <w:color w:val="595959" w:themeColor="text1" w:themeTint="A6"/>
      <w:spacing w:val="15"/>
      <w:sz w:val="28"/>
      <w:szCs w:val="28"/>
    </w:rPr>
  </w:style>
  <w:style w:type="paragraph" w:styleId="Cita">
    <w:name w:val="Quote"/>
    <w:basedOn w:val="Normal"/>
    <w:next w:val="Normal"/>
    <w:link w:val="CitaCar"/>
    <w:uiPriority w:val="29"/>
    <w:qFormat/>
    <w:rsid w:val="00395439"/>
    <w:pPr>
      <w:spacing w:before="160"/>
      <w:jc w:val="center"/>
    </w:pPr>
    <w:rPr>
      <w:i/>
      <w:iCs/>
      <w:color w:val="404040" w:themeColor="text1" w:themeTint="BF"/>
    </w:rPr>
  </w:style>
  <w:style w:type="character" w:customStyle="1" w:styleId="CitaCar">
    <w:name w:val="Cita Car"/>
    <w:basedOn w:val="Fuentedeprrafopredeter"/>
    <w:link w:val="Cita"/>
    <w:uiPriority w:val="29"/>
    <w:rsid w:val="00395439"/>
    <w:rPr>
      <w:i/>
      <w:iCs/>
      <w:color w:val="404040" w:themeColor="text1" w:themeTint="BF"/>
    </w:rPr>
  </w:style>
  <w:style w:type="paragraph" w:styleId="Prrafodelista">
    <w:name w:val="List Paragraph"/>
    <w:basedOn w:val="Normal"/>
    <w:uiPriority w:val="34"/>
    <w:qFormat/>
    <w:rsid w:val="00395439"/>
    <w:pPr>
      <w:ind w:left="720"/>
      <w:contextualSpacing/>
    </w:pPr>
  </w:style>
  <w:style w:type="character" w:styleId="nfasisintenso">
    <w:name w:val="Intense Emphasis"/>
    <w:basedOn w:val="Fuentedeprrafopredeter"/>
    <w:uiPriority w:val="21"/>
    <w:qFormat/>
    <w:rsid w:val="00395439"/>
    <w:rPr>
      <w:i/>
      <w:iCs/>
      <w:color w:val="0F4761" w:themeColor="accent1" w:themeShade="BF"/>
    </w:rPr>
  </w:style>
  <w:style w:type="paragraph" w:styleId="Citadestacada">
    <w:name w:val="Intense Quote"/>
    <w:basedOn w:val="Normal"/>
    <w:next w:val="Normal"/>
    <w:link w:val="CitadestacadaCar"/>
    <w:uiPriority w:val="30"/>
    <w:qFormat/>
    <w:rsid w:val="003954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95439"/>
    <w:rPr>
      <w:i/>
      <w:iCs/>
      <w:color w:val="0F4761" w:themeColor="accent1" w:themeShade="BF"/>
    </w:rPr>
  </w:style>
  <w:style w:type="character" w:styleId="Referenciaintensa">
    <w:name w:val="Intense Reference"/>
    <w:basedOn w:val="Fuentedeprrafopredeter"/>
    <w:uiPriority w:val="32"/>
    <w:qFormat/>
    <w:rsid w:val="00395439"/>
    <w:rPr>
      <w:b/>
      <w:bCs/>
      <w:smallCaps/>
      <w:color w:val="0F4761" w:themeColor="accent1" w:themeShade="BF"/>
      <w:spacing w:val="5"/>
    </w:rPr>
  </w:style>
  <w:style w:type="character" w:styleId="Hipervnculo">
    <w:name w:val="Hyperlink"/>
    <w:basedOn w:val="Fuentedeprrafopredeter"/>
    <w:uiPriority w:val="99"/>
    <w:unhideWhenUsed/>
    <w:rsid w:val="00395439"/>
    <w:rPr>
      <w:color w:val="467886" w:themeColor="hyperlink"/>
      <w:u w:val="single"/>
    </w:rPr>
  </w:style>
  <w:style w:type="character" w:styleId="Mencinsinresolver">
    <w:name w:val="Unresolved Mention"/>
    <w:basedOn w:val="Fuentedeprrafopredeter"/>
    <w:uiPriority w:val="99"/>
    <w:semiHidden/>
    <w:unhideWhenUsed/>
    <w:rsid w:val="00395439"/>
    <w:rPr>
      <w:color w:val="605E5C"/>
      <w:shd w:val="clear" w:color="auto" w:fill="E1DFDD"/>
    </w:rPr>
  </w:style>
  <w:style w:type="character" w:styleId="Textodelmarcadordeposicin">
    <w:name w:val="Placeholder Text"/>
    <w:basedOn w:val="Fuentedeprrafopredeter"/>
    <w:uiPriority w:val="99"/>
    <w:semiHidden/>
    <w:rsid w:val="00395439"/>
    <w:rPr>
      <w:color w:val="666666"/>
    </w:rPr>
  </w:style>
  <w:style w:type="paragraph" w:styleId="Descripcin">
    <w:name w:val="caption"/>
    <w:basedOn w:val="Normal"/>
    <w:next w:val="Normal"/>
    <w:uiPriority w:val="35"/>
    <w:unhideWhenUsed/>
    <w:qFormat/>
    <w:rsid w:val="001E71DB"/>
    <w:pPr>
      <w:spacing w:before="0" w:after="200"/>
    </w:pPr>
    <w:rPr>
      <w:i/>
      <w:iCs/>
      <w:color w:val="0E2841" w:themeColor="text2"/>
      <w:sz w:val="18"/>
      <w:szCs w:val="18"/>
    </w:rPr>
  </w:style>
  <w:style w:type="character" w:styleId="Hipervnculovisitado">
    <w:name w:val="FollowedHyperlink"/>
    <w:basedOn w:val="Fuentedeprrafopredeter"/>
    <w:uiPriority w:val="99"/>
    <w:semiHidden/>
    <w:unhideWhenUsed/>
    <w:rsid w:val="00F37965"/>
    <w:rPr>
      <w:color w:val="96607D" w:themeColor="followedHyperlink"/>
      <w:u w:val="single"/>
    </w:rPr>
  </w:style>
  <w:style w:type="paragraph" w:styleId="NormalWeb">
    <w:name w:val="Normal (Web)"/>
    <w:basedOn w:val="Normal"/>
    <w:uiPriority w:val="99"/>
    <w:semiHidden/>
    <w:unhideWhenUsed/>
    <w:rsid w:val="00A00887"/>
    <w:pPr>
      <w:spacing w:before="100" w:beforeAutospacing="1" w:after="100" w:afterAutospacing="1"/>
      <w:ind w:firstLine="0"/>
    </w:pPr>
    <w:rPr>
      <w:rFonts w:eastAsia="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624452">
      <w:marLeft w:val="480"/>
      <w:marRight w:val="0"/>
      <w:marTop w:val="0"/>
      <w:marBottom w:val="0"/>
      <w:divBdr>
        <w:top w:val="none" w:sz="0" w:space="0" w:color="auto"/>
        <w:left w:val="none" w:sz="0" w:space="0" w:color="auto"/>
        <w:bottom w:val="none" w:sz="0" w:space="0" w:color="auto"/>
        <w:right w:val="none" w:sz="0" w:space="0" w:color="auto"/>
      </w:divBdr>
    </w:div>
    <w:div w:id="560211182">
      <w:marLeft w:val="480"/>
      <w:marRight w:val="0"/>
      <w:marTop w:val="0"/>
      <w:marBottom w:val="0"/>
      <w:divBdr>
        <w:top w:val="none" w:sz="0" w:space="0" w:color="auto"/>
        <w:left w:val="none" w:sz="0" w:space="0" w:color="auto"/>
        <w:bottom w:val="none" w:sz="0" w:space="0" w:color="auto"/>
        <w:right w:val="none" w:sz="0" w:space="0" w:color="auto"/>
      </w:divBdr>
    </w:div>
    <w:div w:id="1358309282">
      <w:marLeft w:val="480"/>
      <w:marRight w:val="0"/>
      <w:marTop w:val="0"/>
      <w:marBottom w:val="0"/>
      <w:divBdr>
        <w:top w:val="none" w:sz="0" w:space="0" w:color="auto"/>
        <w:left w:val="none" w:sz="0" w:space="0" w:color="auto"/>
        <w:bottom w:val="none" w:sz="0" w:space="0" w:color="auto"/>
        <w:right w:val="none" w:sz="0" w:space="0" w:color="auto"/>
      </w:divBdr>
    </w:div>
    <w:div w:id="2014532392">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jpeg"/><Relationship Id="rId18" Type="http://schemas.openxmlformats.org/officeDocument/2006/relationships/image" Target="media/image9.jpeg"/><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image" Target="media/image3.jpeg"/><Relationship Id="rId17" Type="http://schemas.openxmlformats.org/officeDocument/2006/relationships/image" Target="media/image8.jpe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jpeg"/><Relationship Id="rId5" Type="http://schemas.openxmlformats.org/officeDocument/2006/relationships/numbering" Target="numbering.xml"/><Relationship Id="rId15" Type="http://schemas.openxmlformats.org/officeDocument/2006/relationships/image" Target="media/image6.jpeg"/><Relationship Id="rId10" Type="http://schemas.openxmlformats.org/officeDocument/2006/relationships/image" Target="media/image1.jpeg"/><Relationship Id="rId19" Type="http://schemas.openxmlformats.org/officeDocument/2006/relationships/image" Target="media/image10.jpg"/><Relationship Id="rId4" Type="http://schemas.openxmlformats.org/officeDocument/2006/relationships/customXml" Target="../customXml/item4.xml"/><Relationship Id="rId9" Type="http://schemas.openxmlformats.org/officeDocument/2006/relationships/hyperlink" Target="https://circabc.europa.eu/ui/group/befb6055-ab0c-4305-84fe-0c80c1c0553d/library/9043a56e-2ac0-4d14-aebb-c224bdc495b8/details" TargetMode="External"/><Relationship Id="rId14" Type="http://schemas.openxmlformats.org/officeDocument/2006/relationships/image" Target="media/image5.jpeg"/><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08529FA48934620ACA91F4D5D7022D1"/>
        <w:category>
          <w:name w:val="General"/>
          <w:gallery w:val="placeholder"/>
        </w:category>
        <w:types>
          <w:type w:val="bbPlcHdr"/>
        </w:types>
        <w:behaviors>
          <w:behavior w:val="content"/>
        </w:behaviors>
        <w:guid w:val="{655565C5-3732-4EE8-A482-A8FA88D044F0}"/>
      </w:docPartPr>
      <w:docPartBody>
        <w:p w:rsidR="00000000" w:rsidRDefault="00422BD4" w:rsidP="00422BD4">
          <w:pPr>
            <w:pStyle w:val="808529FA48934620ACA91F4D5D7022D1"/>
          </w:pPr>
          <w:r w:rsidRPr="00F912D9">
            <w:rPr>
              <w:rStyle w:val="Textodelmarcadordeposicin"/>
            </w:rPr>
            <w:t>Haga clic o pulse aquí para escribir texto.</w:t>
          </w:r>
        </w:p>
      </w:docPartBody>
    </w:docPart>
    <w:docPart>
      <w:docPartPr>
        <w:name w:val="25A97547FB7847D48B54447EB705FADE"/>
        <w:category>
          <w:name w:val="General"/>
          <w:gallery w:val="placeholder"/>
        </w:category>
        <w:types>
          <w:type w:val="bbPlcHdr"/>
        </w:types>
        <w:behaviors>
          <w:behavior w:val="content"/>
        </w:behaviors>
        <w:guid w:val="{511166C5-3EF2-47D2-9CC3-8009B5B65DCC}"/>
      </w:docPartPr>
      <w:docPartBody>
        <w:p w:rsidR="00000000" w:rsidRDefault="00422BD4" w:rsidP="00422BD4">
          <w:pPr>
            <w:pStyle w:val="25A97547FB7847D48B54447EB705FADE"/>
          </w:pPr>
          <w:r w:rsidRPr="00F912D9">
            <w:rPr>
              <w:rStyle w:val="Textodelmarcadordeposicin"/>
            </w:rPr>
            <w:t>Haga clic o pulse aquí para escribir texto.</w:t>
          </w:r>
        </w:p>
      </w:docPartBody>
    </w:docPart>
    <w:docPart>
      <w:docPartPr>
        <w:name w:val="DefaultPlaceholder_-1854013440"/>
        <w:category>
          <w:name w:val="General"/>
          <w:gallery w:val="placeholder"/>
        </w:category>
        <w:types>
          <w:type w:val="bbPlcHdr"/>
        </w:types>
        <w:behaviors>
          <w:behavior w:val="content"/>
        </w:behaviors>
        <w:guid w:val="{06F21C83-41E3-4B35-9319-D7B422523B7A}"/>
      </w:docPartPr>
      <w:docPartBody>
        <w:p w:rsidR="00000000" w:rsidRDefault="00232EE8">
          <w:r w:rsidRPr="00E67ECA">
            <w:rPr>
              <w:rStyle w:val="Textodelmarcadordeposicin"/>
            </w:rPr>
            <w:t>Haga clic o pulse aquí para escribir texto.</w:t>
          </w:r>
        </w:p>
      </w:docPartBody>
    </w:docPart>
    <w:docPart>
      <w:docPartPr>
        <w:name w:val="E2658B7F4A80417498B70CDA8C40539C"/>
        <w:category>
          <w:name w:val="General"/>
          <w:gallery w:val="placeholder"/>
        </w:category>
        <w:types>
          <w:type w:val="bbPlcHdr"/>
        </w:types>
        <w:behaviors>
          <w:behavior w:val="content"/>
        </w:behaviors>
        <w:guid w:val="{4D46B9F3-698B-47F4-B0A5-0741D9804DEA}"/>
      </w:docPartPr>
      <w:docPartBody>
        <w:p w:rsidR="00000000" w:rsidRDefault="00232EE8" w:rsidP="00232EE8">
          <w:pPr>
            <w:pStyle w:val="E2658B7F4A80417498B70CDA8C40539C"/>
          </w:pPr>
          <w:r w:rsidRPr="00F912D9">
            <w:rPr>
              <w:rStyle w:val="Textodelmarcadordeposicin"/>
            </w:rPr>
            <w:t>Haga clic o pulse aquí para escribir texto.</w:t>
          </w:r>
        </w:p>
      </w:docPartBody>
    </w:docPart>
    <w:docPart>
      <w:docPartPr>
        <w:name w:val="6D6299A75E6048C0B360C69EAEC14A01"/>
        <w:category>
          <w:name w:val="General"/>
          <w:gallery w:val="placeholder"/>
        </w:category>
        <w:types>
          <w:type w:val="bbPlcHdr"/>
        </w:types>
        <w:behaviors>
          <w:behavior w:val="content"/>
        </w:behaviors>
        <w:guid w:val="{EDA4FD98-36AA-424C-A221-6DB6E79A2DB9}"/>
      </w:docPartPr>
      <w:docPartBody>
        <w:p w:rsidR="00000000" w:rsidRDefault="00232EE8" w:rsidP="00232EE8">
          <w:pPr>
            <w:pStyle w:val="6D6299A75E6048C0B360C69EAEC14A01"/>
          </w:pPr>
          <w:r w:rsidRPr="00F912D9">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AC1"/>
    <w:rsid w:val="000C6B5D"/>
    <w:rsid w:val="001557F9"/>
    <w:rsid w:val="00232EE8"/>
    <w:rsid w:val="00292F28"/>
    <w:rsid w:val="003903D3"/>
    <w:rsid w:val="003D5D9B"/>
    <w:rsid w:val="00420EB9"/>
    <w:rsid w:val="00422BD4"/>
    <w:rsid w:val="004A60ED"/>
    <w:rsid w:val="00581F49"/>
    <w:rsid w:val="00696AC3"/>
    <w:rsid w:val="006B5336"/>
    <w:rsid w:val="00747C4D"/>
    <w:rsid w:val="008C2AC1"/>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232EE8"/>
    <w:rPr>
      <w:color w:val="666666"/>
    </w:rPr>
  </w:style>
  <w:style w:type="paragraph" w:customStyle="1" w:styleId="808529FA48934620ACA91F4D5D7022D1">
    <w:name w:val="808529FA48934620ACA91F4D5D7022D1"/>
    <w:rsid w:val="00422BD4"/>
  </w:style>
  <w:style w:type="paragraph" w:customStyle="1" w:styleId="25A97547FB7847D48B54447EB705FADE">
    <w:name w:val="25A97547FB7847D48B54447EB705FADE"/>
    <w:rsid w:val="00422BD4"/>
  </w:style>
  <w:style w:type="paragraph" w:customStyle="1" w:styleId="E2658B7F4A80417498B70CDA8C40539C">
    <w:name w:val="E2658B7F4A80417498B70CDA8C40539C"/>
    <w:rsid w:val="00232EE8"/>
    <w:rPr>
      <w:lang w:val="en-US" w:eastAsia="en-US"/>
    </w:rPr>
  </w:style>
  <w:style w:type="paragraph" w:customStyle="1" w:styleId="6D6299A75E6048C0B360C69EAEC14A01">
    <w:name w:val="6D6299A75E6048C0B360C69EAEC14A01"/>
    <w:rsid w:val="00232EE8"/>
    <w:rPr>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36A48C1-208E-4AC9-BFCE-DD704DBF38C8}">
  <we:reference id="wa104382081" version="1.55.1.0" store="es-ES" storeType="OMEX"/>
  <we:alternateReferences>
    <we:reference id="WA104382081" version="1.55.1.0" store="WA104382081" storeType="OMEX"/>
  </we:alternateReferences>
  <we:properties>
    <we:property name="MENDELEY_BIBLIOGRAPHY_IS_DIRTY" value="false"/>
    <we:property name="MENDELEY_BIBLIOGRAPHY_LAST_MODIFIED" value="1764600023623"/>
    <we:property name="MENDELEY_CITATIONS" value="[{&quot;citationID&quot;:&quot;MENDELEY_CITATION_39080fe5-93e5-409c-96d3-9ebf03777e1b&quot;,&quot;properties&quot;:{&quot;noteIndex&quot;:0},&quot;isEdited&quot;:false,&quot;manualOverride&quot;:{&quot;isManuallyOverridden&quot;:false,&quot;citeprocText&quot;:&quot;(Shannon, 1948)&quot;,&quot;manualOverrideText&quot;:&quot;&quot;},&quot;citationTag&quot;:&quot;MENDELEY_CITATION_v3_eyJjaXRhdGlvbklEIjoiTUVOREVMRVlfQ0lUQVRJT05fMzkwODBmZTUtOTNlNS00MDljLTk2ZDMtOWViZjAzNzc3ZTFiIiwicHJvcGVydGllcyI6eyJub3RlSW5kZXgiOjB9LCJpc0VkaXRlZCI6ZmFsc2UsIm1hbnVhbE92ZXJyaWRlIjp7ImlzTWFudWFsbHlPdmVycmlkZGVuIjpmYWxzZSwiY2l0ZXByb2NUZXh0IjoiKFNoYW5ub24sIDE5NDgpIiwibWFudWFsT3ZlcnJpZGVUZXh0IjoiIn0sImNpdGF0aW9uSXRlbXMiOlt7ImlkIjoiMjEyODJkOTItNzhiNy0zOTk3LWEzYTUtN2Q3MGU1MTA3OTg4IiwiaXRlbURhdGEiOnsidHlwZSI6ImFydGljbGUtam91cm5hbCIsImlkIjoiMjEyODJkOTItNzhiNy0zOTk3LWEzYTUtN2Q3MGU1MTA3OTg4IiwidGl0bGUiOiJBIE1hdGhlbWF0aWNhbCBUaGVvcnkgb2YgQ29tbXVuaWNhdGlvbiIsImF1dGhvciI6W3siZmFtaWx5IjoiU2hhbm5vbiIsImdpdmVuIjoiQy4gRS4iLCJwYXJzZS1uYW1lcyI6ZmFsc2UsImRyb3BwaW5nLXBhcnRpY2xlIjoiIiwibm9uLWRyb3BwaW5nLXBhcnRpY2xlIjoiIn1dLCJjb250YWluZXItdGl0bGUiOiJCZWxsIFN5c3RlbSBUZWNobmljYWwgSm91cm5hbCIsIkRPSSI6IjEwLjEwMDIvai4xNTM4LTczMDUuMTk0OC50YjAxMzM4LngiLCJJU1NOIjoiMDAwNTg1ODAiLCJpc3N1ZWQiOnsiZGF0ZS1wYXJ0cyI6W1sxOTQ4LDddXX0sInBhZ2UiOiIzNzktNDIzIiwiaXNzdWUiOiIzIiwidm9sdW1lIjoiMjciLCJjb250YWluZXItdGl0bGUtc2hvcnQiOiIifSwiaXNUZW1wb3JhcnkiOmZhbHNlfV19&quot;,&quot;citationItems&quot;:[{&quot;id&quot;:&quot;21282d92-78b7-3997-a3a5-7d70e5107988&quot;,&quot;itemData&quot;:{&quot;type&quot;:&quot;article-journal&quot;,&quot;id&quot;:&quot;21282d92-78b7-3997-a3a5-7d70e5107988&quot;,&quot;title&quot;:&quot;A Mathematical Theory of Communication&quot;,&quot;author&quot;:[{&quot;family&quot;:&quot;Shannon&quot;,&quot;given&quot;:&quot;C. E.&quot;,&quot;parse-names&quot;:false,&quot;dropping-particle&quot;:&quot;&quot;,&quot;non-dropping-particle&quot;:&quot;&quot;}],&quot;container-title&quot;:&quot;Bell System Technical Journal&quot;,&quot;DOI&quot;:&quot;10.1002/j.1538-7305.1948.tb01338.x&quot;,&quot;ISSN&quot;:&quot;00058580&quot;,&quot;issued&quot;:{&quot;date-parts&quot;:[[1948,7]]},&quot;page&quot;:&quot;379-423&quot;,&quot;issue&quot;:&quot;3&quot;,&quot;volume&quot;:&quot;27&quot;,&quot;container-title-short&quot;:&quot;&quot;},&quot;isTemporary&quot;:false}]},{&quot;citationID&quot;:&quot;MENDELEY_CITATION_abaaa762-c0cb-44b7-ab12-fcff380979af&quot;,&quot;properties&quot;:{&quot;noteIndex&quot;:0},&quot;isEdited&quot;:false,&quot;manualOverride&quot;:{&quot;isManuallyOverridden&quot;:false,&quot;citeprocText&quot;:&quot;(Dabkiene et al., 2021)&quot;,&quot;manualOverrideText&quot;:&quot;&quot;},&quot;citationTag&quot;:&quot;MENDELEY_CITATION_v3_eyJjaXRhdGlvbklEIjoiTUVOREVMRVlfQ0lUQVRJT05fYWJhYWE3NjItYzBjYi00NGI3LWFiMTItZmNmZjM4MDk3OWFmIiwicHJvcGVydGllcyI6eyJub3RlSW5kZXgiOjB9LCJpc0VkaXRlZCI6ZmFsc2UsIm1hbnVhbE92ZXJyaWRlIjp7ImlzTWFudWFsbHlPdmVycmlkZGVuIjpmYWxzZSwiY2l0ZXByb2NUZXh0IjoiKERhYmtpZW5lIGV0IGFsLiwgMjAyMSkiLCJtYW51YWxPdmVycmlkZVRleHQiOiIifSwiY2l0YXRpb25JdGVtcyI6W3siaWQiOiJlYTQ0YWFkZS1iZmFjLTMyMWQtYjcyOC03Y2U5M2E5N2JkMWUiLCJpdGVtRGF0YSI6eyJ0eXBlIjoiYXJ0aWNsZS1qb3VybmFsIiwiaWQiOiJlYTQ0YWFkZS1iZmFjLTMyMWQtYjcyOC03Y2U5M2E5N2JkMWUiLCJ0aXRsZSI6IkRldmVsb3BtZW50IG9mIGFncmktZW52aXJvbm1lbnRhbCBmb290cHJpbnQgaW5kaWNhdG9yIHVzaW5nIHRoZSBGQUROIGRhdGE6IFRyYWNraW5nIGRldmVsb3BtZW50IG9mIHN1c3RhaW5hYmxlIGFncmljdWx0dXJhbCBkZXZlbG9wbWVudCBpbiBFYXN0ZXJuIEV1cm9wZSIsImF1dGhvciI6W3siZmFtaWx5IjoiRGFia2llbmUiLCJnaXZlbiI6IlZpZGEiLCJwYXJzZS1uYW1lcyI6ZmFsc2UsImRyb3BwaW5nLXBhcnRpY2xlIjoiIiwibm9uLWRyb3BwaW5nLXBhcnRpY2xlIjoiIn0seyJmYW1pbHkiOiJCYWxlemVudGlzIiwiZ2l2ZW4iOiJUb21hcyIsInBhcnNlLW5hbWVzIjpmYWxzZSwiZHJvcHBpbmctcGFydGljbGUiOiIiLCJub24tZHJvcHBpbmctcGFydGljbGUiOiIifSx7ImZhbWlseSI6IlN0cmVpbWlraWVuZSIsImdpdmVuIjoiRGFsaWEiLCJwYXJzZS1uYW1lcyI6ZmFsc2UsImRyb3BwaW5nLXBhcnRpY2xlIjoiIiwibm9uLWRyb3BwaW5nLXBhcnRpY2xlIjoiIn1dLCJjb250YWluZXItdGl0bGUiOiJTdXN0YWluYWJsZSBQcm9kdWN0aW9uIGFuZCBDb25zdW1wdGlvbiIsIkRPSSI6IjEwLjEwMTYvai5zcGMuMjAyMS4wNS4wMTciLCJJU1NOIjoiMjM1MjU1MDkiLCJpc3N1ZWQiOnsiZGF0ZS1wYXJ0cyI6W1syMDIxLDddXX0sInBhZ2UiOiIyMTIxLTIxMzMiLCJ2b2x1bWUiOiIyNyIsImNvbnRhaW5lci10aXRsZS1zaG9ydCI6IlN1c3RhaW4uIFByb2QuIENvbnN1bS4ifSwiaXNUZW1wb3JhcnkiOmZhbHNlfV19&quot;,&quot;citationItems&quot;:[{&quot;id&quot;:&quot;ea44aade-bfac-321d-b728-7ce93a97bd1e&quot;,&quot;itemData&quot;:{&quot;type&quot;:&quot;article-journal&quot;,&quot;id&quot;:&quot;ea44aade-bfac-321d-b728-7ce93a97bd1e&quot;,&quot;title&quot;:&quot;Development of agri-environmental footprint indicator using the FADN data: Tracking development of sustainable agricultural development in Eastern Europe&quot;,&quot;author&quot;:[{&quot;family&quot;:&quot;Dabkiene&quot;,&quot;given&quot;:&quot;Vida&quot;,&quot;parse-names&quot;:false,&quot;dropping-particle&quot;:&quot;&quot;,&quot;non-dropping-particle&quot;:&quot;&quot;},{&quot;family&quot;:&quot;Balezentis&quot;,&quot;given&quot;:&quot;Tomas&quot;,&quot;parse-names&quot;:false,&quot;dropping-particle&quot;:&quot;&quot;,&quot;non-dropping-particle&quot;:&quot;&quot;},{&quot;family&quot;:&quot;Streimikiene&quot;,&quot;given&quot;:&quot;Dalia&quot;,&quot;parse-names&quot;:false,&quot;dropping-particle&quot;:&quot;&quot;,&quot;non-dropping-particle&quot;:&quot;&quot;}],&quot;container-title&quot;:&quot;Sustainable Production and Consumption&quot;,&quot;DOI&quot;:&quot;10.1016/j.spc.2021.05.017&quot;,&quot;ISSN&quot;:&quot;23525509&quot;,&quot;issued&quot;:{&quot;date-parts&quot;:[[2021,7]]},&quot;page&quot;:&quot;2121-2133&quot;,&quot;volume&quot;:&quot;27&quot;,&quot;container-title-short&quot;:&quot;Sustain. Prod. Consum.&quot;},&quot;isTemporary&quot;:false}]},{&quot;citationID&quot;:&quot;MENDELEY_CITATION_84070641-05c9-438e-abd1-75a2c1233068&quot;,&quot;properties&quot;:{&quot;noteIndex&quot;:0,&quot;mode&quot;:&quot;composite&quot;},&quot;isEdited&quot;:false,&quot;manualOverride&quot;:{&quot;isManuallyOverridden&quot;:false,&quot;citeprocText&quot;:&quot;Dabkiene et al. (2021)&quot;,&quot;manualOverrideText&quot;:&quot;&quot;},&quot;citationTag&quot;:&quot;MENDELEY_CITATION_v3_eyJjaXRhdGlvbklEIjoiTUVOREVMRVlfQ0lUQVRJT05fODQwNzA2NDEtMDVjOS00MzhlLWFiZDEtNzVhMmMxMjMzMDY4IiwicHJvcGVydGllcyI6eyJub3RlSW5kZXgiOjAsIm1vZGUiOiJjb21wb3NpdGUifSwiaXNFZGl0ZWQiOmZhbHNlLCJtYW51YWxPdmVycmlkZSI6eyJpc01hbnVhbGx5T3ZlcnJpZGRlbiI6ZmFsc2UsImNpdGVwcm9jVGV4dCI6IkRhYmtpZW5lIGV0IGFsLiAoMjAyMSkiLCJtYW51YWxPdmVycmlkZVRleHQiOiIifSwiY2l0YXRpb25JdGVtcyI6W3siZGlzcGxheUFzIjoiY29tcG9zaXRlIiwibGFiZWwiOiJwYWdlIiwiaWQiOiJlYTQ0YWFkZS1iZmFjLTMyMWQtYjcyOC03Y2U5M2E5N2JkMWUiLCJpdGVtRGF0YSI6eyJ0eXBlIjoiYXJ0aWNsZS1qb3VybmFsIiwiaWQiOiJlYTQ0YWFkZS1iZmFjLTMyMWQtYjcyOC03Y2U5M2E5N2JkMWUiLCJ0aXRsZSI6IkRldmVsb3BtZW50IG9mIGFncmktZW52aXJvbm1lbnRhbCBmb290cHJpbnQgaW5kaWNhdG9yIHVzaW5nIHRoZSBGQUROIGRhdGE6IFRyYWNraW5nIGRldmVsb3BtZW50IG9mIHN1c3RhaW5hYmxlIGFncmljdWx0dXJhbCBkZXZlbG9wbWVudCBpbiBFYXN0ZXJuIEV1cm9wZSIsImF1dGhvciI6W3siZmFtaWx5IjoiRGFia2llbmUiLCJnaXZlbiI6IlZpZGEiLCJwYXJzZS1uYW1lcyI6ZmFsc2UsImRyb3BwaW5nLXBhcnRpY2xlIjoiIiwibm9uLWRyb3BwaW5nLXBhcnRpY2xlIjoiIn0seyJmYW1pbHkiOiJCYWxlemVudGlzIiwiZ2l2ZW4iOiJUb21hcyIsInBhcnNlLW5hbWVzIjpmYWxzZSwiZHJvcHBpbmctcGFydGljbGUiOiIiLCJub24tZHJvcHBpbmctcGFydGljbGUiOiIifSx7ImZhbWlseSI6IlN0cmVpbWlraWVuZSIsImdpdmVuIjoiRGFsaWEiLCJwYXJzZS1uYW1lcyI6ZmFsc2UsImRyb3BwaW5nLXBhcnRpY2xlIjoiIiwibm9uLWRyb3BwaW5nLXBhcnRpY2xlIjoiIn1dLCJjb250YWluZXItdGl0bGUiOiJTdXN0YWluYWJsZSBQcm9kdWN0aW9uIGFuZCBDb25zdW1wdGlvbiIsImNvbnRhaW5lci10aXRsZS1zaG9ydCI6IlN1c3RhaW4uIFByb2QuIENvbnN1bS4iLCJET0kiOiIxMC4xMDE2L2ouc3BjLjIwMjEuMDUuMDE3IiwiSVNTTiI6IjIzNTI1NTA5IiwiaXNzdWVkIjp7ImRhdGUtcGFydHMiOltbMjAyMSw3XV19LCJwYWdlIjoiMjEyMS0yMTMzIiwidm9sdW1lIjoiMjcifSwiaXNUZW1wb3JhcnkiOmZhbHNlLCJzdXBwcmVzcy1hdXRob3IiOmZhbHNlLCJjb21wb3NpdGUiOnRydWUsImF1dGhvci1vbmx5IjpmYWxzZX1dfQ==&quot;,&quot;citationItems&quot;:[{&quot;displayAs&quot;:&quot;composite&quot;,&quot;label&quot;:&quot;page&quot;,&quot;id&quot;:&quot;ea44aade-bfac-321d-b728-7ce93a97bd1e&quot;,&quot;itemData&quot;:{&quot;type&quot;:&quot;article-journal&quot;,&quot;id&quot;:&quot;ea44aade-bfac-321d-b728-7ce93a97bd1e&quot;,&quot;title&quot;:&quot;Development of agri-environmental footprint indicator using the FADN data: Tracking development of sustainable agricultural development in Eastern Europe&quot;,&quot;author&quot;:[{&quot;family&quot;:&quot;Dabkiene&quot;,&quot;given&quot;:&quot;Vida&quot;,&quot;parse-names&quot;:false,&quot;dropping-particle&quot;:&quot;&quot;,&quot;non-dropping-particle&quot;:&quot;&quot;},{&quot;family&quot;:&quot;Balezentis&quot;,&quot;given&quot;:&quot;Tomas&quot;,&quot;parse-names&quot;:false,&quot;dropping-particle&quot;:&quot;&quot;,&quot;non-dropping-particle&quot;:&quot;&quot;},{&quot;family&quot;:&quot;Streimikiene&quot;,&quot;given&quot;:&quot;Dalia&quot;,&quot;parse-names&quot;:false,&quot;dropping-particle&quot;:&quot;&quot;,&quot;non-dropping-particle&quot;:&quot;&quot;}],&quot;container-title&quot;:&quot;Sustainable Production and Consumption&quot;,&quot;container-title-short&quot;:&quot;Sustain. Prod. Consum.&quot;,&quot;DOI&quot;:&quot;10.1016/j.spc.2021.05.017&quot;,&quot;ISSN&quot;:&quot;23525509&quot;,&quot;issued&quot;:{&quot;date-parts&quot;:[[2021,7]]},&quot;page&quot;:&quot;2121-2133&quot;,&quot;volume&quot;:&quot;27&quot;},&quot;isTemporary&quot;:false,&quot;suppress-author&quot;:false,&quot;composite&quot;:true,&quot;author-only&quot;:false}]},{&quot;citationID&quot;:&quot;MENDELEY_CITATION_9c3ecfbc-c5d0-4e3b-b6a8-37313a424f0c&quot;,&quot;properties&quot;:{&quot;noteIndex&quot;:0},&quot;isEdited&quot;:false,&quot;manualOverride&quot;:{&quot;isManuallyOverridden&quot;:false,&quot;citeprocText&quot;:&quot;(Ward, 1963)&quot;,&quot;manualOverrideText&quot;:&quot;&quot;},&quot;citationItems&quot;:[{&quot;id&quot;:&quot;9a5b0dbf-0aea-3624-ad9c-63d376751c16&quot;,&quot;itemData&quot;:{&quot;type&quot;:&quot;article-journal&quot;,&quot;id&quot;:&quot;9a5b0dbf-0aea-3624-ad9c-63d376751c16&quot;,&quot;title&quot;:&quot;Hierarchical Grouping to Optimize an Objective Function&quot;,&quot;author&quot;:[{&quot;family&quot;:&quot;Ward&quot;,&quot;given&quot;:&quot;Joe H.&quot;,&quot;parse-names&quot;:false,&quot;dropping-particle&quot;:&quot;&quot;,&quot;non-dropping-particle&quot;:&quot;&quot;}],&quot;container-title&quot;:&quot;Journal of the American Statistical Association&quot;,&quot;DOI&quot;:&quot;10.1080/01621459.1963.10500845&quot;,&quot;ISSN&quot;:&quot;1537274X&quot;,&quot;issued&quot;:{&quot;date-parts&quot;:[[1963]]},&quot;abstract&quot;:&quot;A procedure for forming hierarchical groups of mutually exclusive subsets, each of which has members that are maximally similar with respect to specified characteristics, is suggested for use in large-scale (n &gt; 100) studies when a precise optimal solution for a specified number of groups is not practical. Given n sets, this procedure permits their reduction to n − 1 mutually exclusive sets by considering the union of all possible n(n − 1)/2 pairs and selecting a union having a maximal value for the functional relation, or objective function, that reflects the criterion chosen by the investigator. By repeating this process until only one group remains, the complete hierarchical structure and a quantitative estimate of the loss associated with each stage in the grouping can be obtained. A general flowchart helpful in computer programming and a numerical example are included. © Taylor &amp; Francis Group, LLC.&quot;,&quot;issue&quot;:&quot;301&quot;,&quot;volume&quot;:&quot;58&quot;,&quot;container-title-short&quot;:&quot;J. Am. Stat. Assoc.&quot;},&quot;isTemporary&quot;:false}],&quot;citationTag&quot;:&quot;MENDELEY_CITATION_v3_eyJjaXRhdGlvbklEIjoiTUVOREVMRVlfQ0lUQVRJT05fOWMzZWNmYmMtYzVkMC00ZTNiLWI2YTgtMzczMTNhNDI0ZjBjIiwicHJvcGVydGllcyI6eyJub3RlSW5kZXgiOjB9LCJpc0VkaXRlZCI6ZmFsc2UsIm1hbnVhbE92ZXJyaWRlIjp7ImlzTWFudWFsbHlPdmVycmlkZGVuIjpmYWxzZSwiY2l0ZXByb2NUZXh0IjoiKFdhcmQsIDE5NjMpIiwibWFudWFsT3ZlcnJpZGVUZXh0IjoiIn0sImNpdGF0aW9uSXRlbXMiOlt7ImlkIjoiOWE1YjBkYmYtMGFlYS0zNjI0LWFkOWMtNjNkMzc2NzUxYzE2IiwiaXRlbURhdGEiOnsidHlwZSI6ImFydGljbGUtam91cm5hbCIsImlkIjoiOWE1YjBkYmYtMGFlYS0zNjI0LWFkOWMtNjNkMzc2NzUxYzE2IiwidGl0bGUiOiJIaWVyYXJjaGljYWwgR3JvdXBpbmcgdG8gT3B0aW1pemUgYW4gT2JqZWN0aXZlIEZ1bmN0aW9uIiwiYXV0aG9yIjpbeyJmYW1pbHkiOiJXYXJkIiwiZ2l2ZW4iOiJKb2UgSC4iLCJwYXJzZS1uYW1lcyI6ZmFsc2UsImRyb3BwaW5nLXBhcnRpY2xlIjoiIiwibm9uLWRyb3BwaW5nLXBhcnRpY2xlIjoiIn1dLCJjb250YWluZXItdGl0bGUiOiJKb3VybmFsIG9mIHRoZSBBbWVyaWNhbiBTdGF0aXN0aWNhbCBBc3NvY2lhdGlvbiIsIkRPSSI6IjEwLjEwODAvMDE2MjE0NTkuMTk2My4xMDUwMDg0NSIsIklTU04iOiIxNTM3Mjc0WCIsImlzc3VlZCI6eyJkYXRlLXBhcnRzIjpbWzE5NjNdXX0sImFic3RyYWN0IjoiQSBwcm9jZWR1cmUgZm9yIGZvcm1pbmcgaGllcmFyY2hpY2FsIGdyb3VwcyBvZiBtdXR1YWxseSBleGNsdXNpdmUgc3Vic2V0cywgZWFjaCBvZiB3aGljaCBoYXMgbWVtYmVycyB0aGF0IGFyZSBtYXhpbWFsbHkgc2ltaWxhciB3aXRoIHJlc3BlY3QgdG8gc3BlY2lmaWVkIGNoYXJhY3RlcmlzdGljcywgaXMgc3VnZ2VzdGVkIGZvciB1c2UgaW4gbGFyZ2Utc2NhbGUgKG4gPiAxMDApIHN0dWRpZXMgd2hlbiBhIHByZWNpc2Ugb3B0aW1hbCBzb2x1dGlvbiBmb3IgYSBzcGVjaWZpZWQgbnVtYmVyIG9mIGdyb3VwcyBpcyBub3QgcHJhY3RpY2FsLiBHaXZlbiBuIHNldHMsIHRoaXMgcHJvY2VkdXJlIHBlcm1pdHMgdGhlaXIgcmVkdWN0aW9uIHRvIG4g4oiSIDEgbXV0dWFsbHkgZXhjbHVzaXZlIHNldHMgYnkgY29uc2lkZXJpbmcgdGhlIHVuaW9uIG9mIGFsbCBwb3NzaWJsZSBuKG4g4oiSIDEpLzIgcGFpcnMgYW5kIHNlbGVjdGluZyBhIHVuaW9uIGhhdmluZyBhIG1heGltYWwgdmFsdWUgZm9yIHRoZSBmdW5jdGlvbmFsIHJlbGF0aW9uLCBvciBvYmplY3RpdmUgZnVuY3Rpb24sIHRoYXQgcmVmbGVjdHMgdGhlIGNyaXRlcmlvbiBjaG9zZW4gYnkgdGhlIGludmVzdGlnYXRvci4gQnkgcmVwZWF0aW5nIHRoaXMgcHJvY2VzcyB1bnRpbCBvbmx5IG9uZSBncm91cCByZW1haW5zLCB0aGUgY29tcGxldGUgaGllcmFyY2hpY2FsIHN0cnVjdHVyZSBhbmQgYSBxdWFudGl0YXRpdmUgZXN0aW1hdGUgb2YgdGhlIGxvc3MgYXNzb2NpYXRlZCB3aXRoIGVhY2ggc3RhZ2UgaW4gdGhlIGdyb3VwaW5nIGNhbiBiZSBvYnRhaW5lZC4gQSBnZW5lcmFsIGZsb3djaGFydCBoZWxwZnVsIGluIGNvbXB1dGVyIHByb2dyYW1taW5nIGFuZCBhIG51bWVyaWNhbCBleGFtcGxlIGFyZSBpbmNsdWRlZC4gwqkgVGF5bG9yICYgRnJhbmNpcyBHcm91cCwgTExDLiIsImlzc3VlIjoiMzAxIiwidm9sdW1lIjoiNTgiLCJjb250YWluZXItdGl0bGUtc2hvcnQiOiJKLiBBbS4gU3RhdC4gQXNzb2MuIn0sImlzVGVtcG9yYXJ5IjpmYWxzZX1dfQ==&quot;},{&quot;citationID&quot;:&quot;MENDELEY_CITATION_4e4e5dd7-9c6c-4105-b81d-0e6b71386c95&quot;,&quot;properties&quot;:{&quot;noteIndex&quot;:0},&quot;isEdited&quot;:false,&quot;manualOverride&quot;:{&quot;isManuallyOverridden&quot;:false,&quot;citeprocText&quot;:&quot;(Tibshirani et al., 2001)&quot;,&quot;manualOverrideText&quot;:&quot;&quot;},&quot;citationItems&quot;:[{&quot;id&quot;:&quot;00616854-e0fa-3a08-b818-17e52384964d&quot;,&quot;itemData&quot;:{&quot;type&quot;:&quot;article-journal&quot;,&quot;id&quot;:&quot;00616854-e0fa-3a08-b818-17e52384964d&quot;,&quot;title&quot;:&quot;Estimating the Number of Clusters in a Data Set Via the Gap Statistic&quot;,&quot;author&quot;:[{&quot;family&quot;:&quot;Tibshirani&quot;,&quot;given&quot;:&quot;Robert&quot;,&quot;parse-names&quot;:false,&quot;dropping-particle&quot;:&quot;&quot;,&quot;non-dropping-particle&quot;:&quot;&quot;},{&quot;family&quot;:&quot;Walther&quot;,&quot;given&quot;:&quot;Guenther&quot;,&quot;parse-names&quot;:false,&quot;dropping-particle&quot;:&quot;&quot;,&quot;non-dropping-particle&quot;:&quot;&quot;},{&quot;family&quot;:&quot;Hastie&quot;,&quot;given&quot;:&quot;Trevor&quot;,&quot;parse-names&quot;:false,&quot;dropping-particle&quot;:&quot;&quot;,&quot;non-dropping-particle&quot;:&quot;&quot;}],&quot;container-title&quot;:&quot;Journal of the Royal Statistical Society Series B: Statistical Methodology&quot;,&quot;DOI&quot;:&quot;10.1111/1467-9868.00293&quot;,&quot;ISSN&quot;:&quot;1369-7412&quot;,&quot;issued&quot;:{&quot;date-parts&quot;:[[2001,7,1]]},&quot;page&quot;:&quot;411-423&quot;,&quot;abstract&quot;:&quot;&lt;p&gt;We propose a method (the ‘gap statistic’) for estimating the number of clusters (groups) in a set of data. The technique uses the output of any clustering algorithm (e.g. K-means or hierarchical), comparing the change in within-cluster dispersion with that expected under an appropriate reference null distribution. Some theory is developed for the proposal and a simulation study shows that the gap statistic usually outperforms other methods that have been proposed in the literature.&lt;/p&gt;&quot;,&quot;issue&quot;:&quot;2&quot;,&quot;volume&quot;:&quot;63&quot;,&quot;container-title-short&quot;:&quot;J. R. Stat. Soc. Series B Stat. Methodol.&quot;},&quot;isTemporary&quot;:false}],&quot;citationTag&quot;:&quot;MENDELEY_CITATION_v3_eyJjaXRhdGlvbklEIjoiTUVOREVMRVlfQ0lUQVRJT05fNGU0ZTVkZDctOWM2Yy00MTA1LWI4MWQtMGU2YjcxMzg2Yzk1IiwicHJvcGVydGllcyI6eyJub3RlSW5kZXgiOjB9LCJpc0VkaXRlZCI6ZmFsc2UsIm1hbnVhbE92ZXJyaWRlIjp7ImlzTWFudWFsbHlPdmVycmlkZGVuIjpmYWxzZSwiY2l0ZXByb2NUZXh0IjoiKFRpYnNoaXJhbmkgZXQgYWwuLCAyMDAxKSIsIm1hbnVhbE92ZXJyaWRlVGV4dCI6IiJ9LCJjaXRhdGlvbkl0ZW1zIjpbeyJpZCI6IjAwNjE2ODU0LWUwZmEtM2EwOC1iODE4LTE3ZTUyMzg0OTY0ZCIsIml0ZW1EYXRhIjp7InR5cGUiOiJhcnRpY2xlLWpvdXJuYWwiLCJpZCI6IjAwNjE2ODU0LWUwZmEtM2EwOC1iODE4LTE3ZTUyMzg0OTY0ZCIsInRpdGxlIjoiRXN0aW1hdGluZyB0aGUgTnVtYmVyIG9mIENsdXN0ZXJzIGluIGEgRGF0YSBTZXQgVmlhIHRoZSBHYXAgU3RhdGlzdGljIiwiYXV0aG9yIjpbeyJmYW1pbHkiOiJUaWJzaGlyYW5pIiwiZ2l2ZW4iOiJSb2JlcnQiLCJwYXJzZS1uYW1lcyI6ZmFsc2UsImRyb3BwaW5nLXBhcnRpY2xlIjoiIiwibm9uLWRyb3BwaW5nLXBhcnRpY2xlIjoiIn0seyJmYW1pbHkiOiJXYWx0aGVyIiwiZ2l2ZW4iOiJHdWVudGhlciIsInBhcnNlLW5hbWVzIjpmYWxzZSwiZHJvcHBpbmctcGFydGljbGUiOiIiLCJub24tZHJvcHBpbmctcGFydGljbGUiOiIifSx7ImZhbWlseSI6Ikhhc3RpZSIsImdpdmVuIjoiVHJldm9yIiwicGFyc2UtbmFtZXMiOmZhbHNlLCJkcm9wcGluZy1wYXJ0aWNsZSI6IiIsIm5vbi1kcm9wcGluZy1wYXJ0aWNsZSI6IiJ9XSwiY29udGFpbmVyLXRpdGxlIjoiSm91cm5hbCBvZiB0aGUgUm95YWwgU3RhdGlzdGljYWwgU29jaWV0eSBTZXJpZXMgQjogU3RhdGlzdGljYWwgTWV0aG9kb2xvZ3kiLCJET0kiOiIxMC4xMTExLzE0NjctOTg2OC4wMDI5MyIsIklTU04iOiIxMzY5LTc0MTIiLCJpc3N1ZWQiOnsiZGF0ZS1wYXJ0cyI6W1syMDAxLDcsMV1dfSwicGFnZSI6IjQxMS00MjMiLCJhYnN0cmFjdCI6IjxwPldlIHByb3Bvc2UgYSBtZXRob2QgKHRoZSDigJhnYXAgc3RhdGlzdGlj4oCZKSBmb3IgZXN0aW1hdGluZyB0aGUgbnVtYmVyIG9mIGNsdXN0ZXJzIChncm91cHMpIGluIGEgc2V0IG9mIGRhdGEuIFRoZSB0ZWNobmlxdWUgdXNlcyB0aGUgb3V0cHV0IG9mIGFueSBjbHVzdGVyaW5nIGFsZ29yaXRobSAoZS5nLiBLLW1lYW5zIG9yIGhpZXJhcmNoaWNhbCksIGNvbXBhcmluZyB0aGUgY2hhbmdlIGluIHdpdGhpbi1jbHVzdGVyIGRpc3BlcnNpb24gd2l0aCB0aGF0IGV4cGVjdGVkIHVuZGVyIGFuIGFwcHJvcHJpYXRlIHJlZmVyZW5jZSBudWxsIGRpc3RyaWJ1dGlvbi4gU29tZSB0aGVvcnkgaXMgZGV2ZWxvcGVkIGZvciB0aGUgcHJvcG9zYWwgYW5kIGEgc2ltdWxhdGlvbiBzdHVkeSBzaG93cyB0aGF0IHRoZSBnYXAgc3RhdGlzdGljIHVzdWFsbHkgb3V0cGVyZm9ybXMgb3RoZXIgbWV0aG9kcyB0aGF0IGhhdmUgYmVlbiBwcm9wb3NlZCBpbiB0aGUgbGl0ZXJhdHVyZS48L3A+IiwiaXNzdWUiOiIyIiwidm9sdW1lIjoiNjMiLCJjb250YWluZXItdGl0bGUtc2hvcnQiOiJKLiBSLiBTdGF0LiBTb2MuIFNlcmllcyBCIFN0YXQuIE1ldGhvZG9sLiJ9LCJpc1RlbXBvcmFyeSI6ZmFsc2V9XX0=&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0F1182C885E5464099A484A522BD6DBF" ma:contentTypeVersion="17" ma:contentTypeDescription="Crear nuevo documento." ma:contentTypeScope="" ma:versionID="9f1412508bf91caa66fd6c57cb400e39">
  <xsd:schema xmlns:xsd="http://www.w3.org/2001/XMLSchema" xmlns:xs="http://www.w3.org/2001/XMLSchema" xmlns:p="http://schemas.microsoft.com/office/2006/metadata/properties" xmlns:ns3="e9a2b2f9-2296-4dd6-9854-ba1fd505ed5a" xmlns:ns4="85ef425c-d2e0-4fb8-9b15-7922701c95c1" targetNamespace="http://schemas.microsoft.com/office/2006/metadata/properties" ma:root="true" ma:fieldsID="145afcf12447317867104553efbd75b5" ns3:_="" ns4:_="">
    <xsd:import namespace="e9a2b2f9-2296-4dd6-9854-ba1fd505ed5a"/>
    <xsd:import namespace="85ef425c-d2e0-4fb8-9b15-7922701c95c1"/>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GenerationTime" minOccurs="0"/>
                <xsd:element ref="ns4:MediaServiceEventHashCode" minOccurs="0"/>
                <xsd:element ref="ns4:MediaServiceOCR" minOccurs="0"/>
                <xsd:element ref="ns4:MediaServiceDateTaken" minOccurs="0"/>
                <xsd:element ref="ns4:MediaLengthInSeconds" minOccurs="0"/>
                <xsd:element ref="ns4:MediaServiceAutoKeyPoints" minOccurs="0"/>
                <xsd:element ref="ns4:MediaServiceKeyPoints" minOccurs="0"/>
                <xsd:element ref="ns4:_activity" minOccurs="0"/>
                <xsd:element ref="ns4:MediaServiceObjectDetectorVersions" minOccurs="0"/>
                <xsd:element ref="ns4:MediaServiceSearchProperties" minOccurs="0"/>
                <xsd:element ref="ns4: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a2b2f9-2296-4dd6-9854-ba1fd505ed5a"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SharingHintHash" ma:index="10" nillable="true" ma:displayName="Hash de la sugerencia para compartir"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ef425c-d2e0-4fb8-9b15-7922701c95c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description="" ma:hidden="true" ma:indexed="true" ma:internalName="MediaServiceDateTake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SystemTags" ma:index="24"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85ef425c-d2e0-4fb8-9b15-7922701c95c1" xsi:nil="true"/>
  </documentManagement>
</p:properties>
</file>

<file path=customXml/itemProps1.xml><?xml version="1.0" encoding="utf-8"?>
<ds:datastoreItem xmlns:ds="http://schemas.openxmlformats.org/officeDocument/2006/customXml" ds:itemID="{A2955252-62FE-49FB-A169-8BCC4D0AF1F5}">
  <ds:schemaRefs>
    <ds:schemaRef ds:uri="http://schemas.openxmlformats.org/officeDocument/2006/bibliography"/>
  </ds:schemaRefs>
</ds:datastoreItem>
</file>

<file path=customXml/itemProps2.xml><?xml version="1.0" encoding="utf-8"?>
<ds:datastoreItem xmlns:ds="http://schemas.openxmlformats.org/officeDocument/2006/customXml" ds:itemID="{25EB86B1-4BB8-45CB-A097-013806E499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9a2b2f9-2296-4dd6-9854-ba1fd505ed5a"/>
    <ds:schemaRef ds:uri="85ef425c-d2e0-4fb8-9b15-7922701c95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206215F-58F1-431F-BFF1-0E42D69DC891}">
  <ds:schemaRefs>
    <ds:schemaRef ds:uri="http://schemas.microsoft.com/sharepoint/v3/contenttype/forms"/>
  </ds:schemaRefs>
</ds:datastoreItem>
</file>

<file path=customXml/itemProps4.xml><?xml version="1.0" encoding="utf-8"?>
<ds:datastoreItem xmlns:ds="http://schemas.openxmlformats.org/officeDocument/2006/customXml" ds:itemID="{2AFD0B5C-9BDD-4D61-B9E9-AD640FDFFEDB}">
  <ds:schemaRefs>
    <ds:schemaRef ds:uri="http://schemas.microsoft.com/office/2006/metadata/properties"/>
    <ds:schemaRef ds:uri="http://schemas.microsoft.com/office/infopath/2007/PartnerControls"/>
    <ds:schemaRef ds:uri="85ef425c-d2e0-4fb8-9b15-7922701c95c1"/>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12</Pages>
  <Words>2030</Words>
  <Characters>13137</Characters>
  <Application>Microsoft Office Word</Application>
  <DocSecurity>0</DocSecurity>
  <Lines>243</Lines>
  <Paragraphs>77</Paragraphs>
  <ScaleCrop>false</ScaleCrop>
  <Company/>
  <LinksUpToDate>false</LinksUpToDate>
  <CharactersWithSpaces>15090</CharactersWithSpaces>
  <SharedDoc>false</SharedDoc>
  <HLinks>
    <vt:vector size="6" baseType="variant">
      <vt:variant>
        <vt:i4>4390982</vt:i4>
      </vt:variant>
      <vt:variant>
        <vt:i4>0</vt:i4>
      </vt:variant>
      <vt:variant>
        <vt:i4>0</vt:i4>
      </vt:variant>
      <vt:variant>
        <vt:i4>5</vt:i4>
      </vt:variant>
      <vt:variant>
        <vt:lpwstr>https://circabc.europa.eu/ui/group/befb6055-ab0c-4305-84fe-0c80c1c0553d/library/9043a56e-2ac0-4d14-aebb-c224bdc495b8/details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LEONARDO HERNAN TALERO SARMIENTO</dc:creator>
  <cp:keywords/>
  <dc:description/>
  <cp:lastModifiedBy>LEONARDO HERNAN TALERO SARMIENTO</cp:lastModifiedBy>
  <cp:revision>234</cp:revision>
  <dcterms:created xsi:type="dcterms:W3CDTF">2026-01-21T02:03:00Z</dcterms:created>
  <dcterms:modified xsi:type="dcterms:W3CDTF">2026-02-05T20:52:00Z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f89407d6-70c2-4fba-a9ea-4e5caa1e2402</vt:lpwstr>
  </property>
  <property fmtid="{D5CDD505-2E9C-101B-9397-08002B2CF9AE}" pid="3" name="ContentTypeId">
    <vt:lpwstr>0x0101000F1182C885E5464099A484A522BD6DBF</vt:lpwstr>
  </property>
</Properties>
</file>