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DETAILED DESIGN / DATA SPECIFICATION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领域模型与数据库设计说明书 V1.0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文档编号：</w:t>
      </w:r>
      <w:r>
        <w:rPr>
          <w:rFonts w:ascii="Calibri" w:hAnsi="Calibri" w:eastAsia="等线"/>
          <w:color w:val="202124"/>
          <w:sz w:val="21"/>
        </w:rPr>
        <w:t>POS-DD-031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领域详细设计、数据库基线与研发验收依据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服务端基线：</w:t>
      </w:r>
      <w:r>
        <w:rPr>
          <w:rFonts w:ascii="Calibri" w:hAnsi="Calibri" w:eastAsia="等线"/>
          <w:color w:val="202124"/>
          <w:sz w:val="21"/>
        </w:rPr>
        <w:t>RuoYi-Vue-Plus 模块化单体 + MySQL 8.4 LTS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终端基线：</w:t>
      </w:r>
      <w:r>
        <w:rPr>
          <w:rFonts w:ascii="Calibri" w:hAnsi="Calibri" w:eastAsia="等线"/>
          <w:color w:val="202124"/>
          <w:sz w:val="21"/>
        </w:rPr>
        <w:t>Flutter Android POS，Windows认证后兼容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架构评审稿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基线日期：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数据边界先于代码，交易事实不可覆盖，所有关键结果必须可追溯和可核验。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1. 编写目的</w:t>
      </w:r>
    </w:p>
    <w:p>
      <w:r>
        <w:t>本文定义平台级数据约束、领域边界、聚合所有权、核心实体、数据库表族、主键与编号、金额与数量精度、事务边界、租户隔离、索引、迁移、归档和数据质量规则，是以下文档和研发工作的唯一数据基线：</w:t>
      </w:r>
    </w:p>
    <w:p>
      <w:pPr>
        <w:pStyle w:val="ListBullet"/>
        <w:numPr>
          <w:ilvl w:val="0"/>
          <w:numId w:val="10"/>
        </w:numPr>
      </w:pPr>
      <w:r>
        <w:t>《订单、支付、退款状态机规格》</w:t>
      </w:r>
    </w:p>
    <w:p>
      <w:pPr>
        <w:pStyle w:val="ListBullet"/>
        <w:numPr>
          <w:ilvl w:val="0"/>
          <w:numId w:val="10"/>
        </w:numPr>
      </w:pPr>
      <w:r>
        <w:t>《库存账本、预占与成本核算规格》</w:t>
      </w:r>
    </w:p>
    <w:p>
      <w:pPr>
        <w:pStyle w:val="ListBullet"/>
        <w:numPr>
          <w:ilvl w:val="0"/>
          <w:numId w:val="10"/>
        </w:numPr>
      </w:pPr>
      <w:r>
        <w:t>《促销规则与优惠分摊规格》</w:t>
      </w:r>
    </w:p>
    <w:p>
      <w:pPr>
        <w:pStyle w:val="ListBullet"/>
        <w:numPr>
          <w:ilvl w:val="0"/>
          <w:numId w:val="10"/>
        </w:numPr>
      </w:pPr>
      <w:r>
        <w:t>《POS离线同步协议》</w:t>
      </w:r>
    </w:p>
    <w:p>
      <w:pPr>
        <w:pStyle w:val="ListBullet"/>
        <w:numPr>
          <w:ilvl w:val="0"/>
          <w:numId w:val="10"/>
        </w:numPr>
      </w:pPr>
      <w:r>
        <w:t>《连接器SDK与标准数据契约》</w:t>
      </w:r>
    </w:p>
    <w:p>
      <w:pPr>
        <w:pStyle w:val="ListBullet"/>
        <w:numPr>
          <w:ilvl w:val="0"/>
          <w:numId w:val="10"/>
        </w:numPr>
      </w:pPr>
      <w:r>
        <w:t>《开放平台API与Webhook规范》</w:t>
      </w:r>
    </w:p>
    <w:p>
      <w:pPr>
        <w:pStyle w:val="ListBullet"/>
        <w:numPr>
          <w:ilvl w:val="0"/>
          <w:numId w:val="10"/>
        </w:numPr>
      </w:pPr>
      <w:r>
        <w:t>数据库迁移脚本、Repository、API DTO、事件 Schema 和测试数据工厂</w:t>
      </w:r>
    </w:p>
    <w:p>
      <w:r>
        <w:t>本文不以页面为单位描述数据库，也不要求每个领域一次性实现全部表。商业 V1 只创建进入范围的表，但已创建表必须遵守本文约束。</w:t>
      </w:r>
    </w:p>
    <w:p>
      <w:pPr>
        <w:pStyle w:val="Heading2"/>
      </w:pPr>
      <w:r>
        <w:t>2. 目标读者</w:t>
      </w:r>
    </w:p>
    <w:p>
      <w:pPr>
        <w:pStyle w:val="ListBullet"/>
        <w:numPr>
          <w:ilvl w:val="0"/>
          <w:numId w:val="10"/>
        </w:numPr>
      </w:pPr>
      <w:r>
        <w:t>架构师、后端、Flutter、Web、测试和数据工程人员。</w:t>
      </w:r>
    </w:p>
    <w:p>
      <w:pPr>
        <w:pStyle w:val="ListBullet"/>
        <w:numPr>
          <w:ilvl w:val="0"/>
          <w:numId w:val="10"/>
        </w:numPr>
      </w:pPr>
      <w:r>
        <w:t>产品负责人、零售领域专家、支付和连接器负责人。</w:t>
      </w:r>
    </w:p>
    <w:p>
      <w:pPr>
        <w:pStyle w:val="ListBullet"/>
        <w:numPr>
          <w:ilvl w:val="0"/>
          <w:numId w:val="10"/>
        </w:numPr>
      </w:pPr>
      <w:r>
        <w:t>DBA、DevOps、安全、实施和数据迁移人员。</w:t>
      </w:r>
    </w:p>
    <w:p>
      <w:pPr>
        <w:pStyle w:val="Heading2"/>
      </w:pPr>
      <w:r>
        <w:t>3. 规范级别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级别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违反即可能造成资金、库存、租户或同步风险，不得绕过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应当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默认执行，例外必须提交 ADR 并说明补偿措施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可以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按容量、客户范围和交付阶段选择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 文档依赖与所有权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上游基线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《技术架构与开发规范V1.0》《商业可落地优化方案V3.0》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本文所有者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架构负责人、数据负责人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领域规则所有者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对应领域负责人，不由DBA或代码生成器代替决策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变更方式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核心字段、主键、金额、状态、租户和账本规则变更必须经过ADR与兼容性评审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数据字典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从迁移脚本和模型生成；不得维护与代码脱节的第二套字段解释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一、核心设计决策</w:t>
      </w:r>
    </w:p>
    <w:p>
      <w:pPr>
        <w:pStyle w:val="Heading2"/>
      </w:pPr>
      <w:r>
        <w:t>1.1 数据架构原则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领域拥有数据。</w:t>
      </w:r>
      <w:r>
        <w:t xml:space="preserve"> 每张业务表只有一个领域模块拥有写权限，其他模块通过应用接口或领域事件读取结果。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交易事实不可覆盖。</w:t>
      </w:r>
      <w:r>
        <w:t xml:space="preserve"> 订单、支付、退款、库存、积分、储值、现金和结算使用状态迁移、流水、冲正或调整表达变化。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余额不是唯一事实。</w:t>
      </w:r>
      <w:r>
        <w:t xml:space="preserve"> 库存余额、积分余额、储值余额和应收应付余额必须能由受控流水核验。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离线标识可生成。</w:t>
      </w:r>
      <w:r>
        <w:t xml:space="preserve"> POS离线创建的订单、支付引用、班次、打印任务和同步事件使用ULID，无需向服务端申请主键。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平台身份遵循若依。</w:t>
      </w:r>
      <w:r>
        <w:t xml:space="preserve"> </w:t>
      </w:r>
      <w:r>
        <w:rPr>
          <w:rFonts w:ascii="Consolas" w:hAnsi="Consolas" w:eastAsia="等线"/>
          <w:color w:val="1F4D78"/>
          <w:sz w:val="20"/>
        </w:rPr>
        <w:t>sys_tenant.id</w:t>
      </w:r>
      <w:r>
        <w:t>、用户、部门、角色等记录主键沿用</w:t>
      </w:r>
      <w:r>
        <w:rPr>
          <w:rFonts w:ascii="Consolas" w:hAnsi="Consolas" w:eastAsia="等线"/>
          <w:color w:val="1F4D78"/>
          <w:sz w:val="20"/>
        </w:rPr>
        <w:t>BIGINT</w:t>
      </w:r>
      <w:r>
        <w:t>；业务隔离字段</w:t>
      </w:r>
      <w:r>
        <w:rPr>
          <w:rFonts w:ascii="Consolas" w:hAnsi="Consolas" w:eastAsia="等线"/>
          <w:color w:val="1F4D78"/>
          <w:sz w:val="20"/>
        </w:rPr>
        <w:t>tenant_id</w:t>
      </w:r>
      <w:r>
        <w:t>沿用RuoYi-Vue-Plus的</w:t>
      </w:r>
      <w:r>
        <w:rPr>
          <w:rFonts w:ascii="Consolas" w:hAnsi="Consolas" w:eastAsia="等线"/>
          <w:color w:val="1F4D78"/>
          <w:sz w:val="20"/>
        </w:rPr>
        <w:t>VARCHAR(20)</w:t>
      </w:r>
      <w:r>
        <w:t>租户编号。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租户隔离贯穿全链路。</w:t>
      </w:r>
      <w:r>
        <w:t xml:space="preserve"> 表、索引、缓存、对象路径、异步任务、事件和日志均携带租户上下文。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一致性按边界治理。</w:t>
      </w:r>
      <w:r>
        <w:t xml:space="preserve"> 单聚合使用本地事务；跨领域采用Outbox、幂等消费和补偿，不使用跨服务分布式事务。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快照保证可重放。</w:t>
      </w:r>
      <w:r>
        <w:t xml:space="preserve"> 订单保存成交时商品、价格、优惠、税、会员权益和打印模板的必要快照。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主数据版本化下发。</w:t>
      </w:r>
      <w:r>
        <w:t xml:space="preserve"> 商品、价格、促销和配置通过版本包或增量游标下发，终端校验后原子切换。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数据库变更向前兼容。</w:t>
      </w:r>
      <w:r>
        <w:t xml:space="preserve"> 云端必须兼容仍在支持期内的POS版本，使用Expand-Migrate-Contract演进。</w:t>
      </w:r>
    </w:p>
    <w:p>
      <w:pPr>
        <w:pStyle w:val="Heading2"/>
      </w:pPr>
      <w:r>
        <w:t>1.2 数据库形态</w:t>
      </w:r>
    </w:p>
    <w:p>
      <w:r>
        <w:t>商业V1采用MySQL单逻辑库、模块化Schema命名的共享数据库模式：</w:t>
      </w:r>
    </w:p>
    <w:p>
      <w:pPr>
        <w:pStyle w:val="ListBullet"/>
        <w:numPr>
          <w:ilvl w:val="0"/>
          <w:numId w:val="10"/>
        </w:numPr>
      </w:pPr>
      <w:r>
        <w:t>所有租户业务表使用行级</w:t>
      </w:r>
      <w:r>
        <w:rPr>
          <w:rFonts w:ascii="Consolas" w:hAnsi="Consolas" w:eastAsia="等线"/>
          <w:color w:val="1F4D78"/>
          <w:sz w:val="20"/>
        </w:rPr>
        <w:t>tenant_id</w:t>
      </w:r>
      <w:r>
        <w:t>隔离。</w:t>
      </w:r>
    </w:p>
    <w:p>
      <w:pPr>
        <w:pStyle w:val="ListBullet"/>
        <w:numPr>
          <w:ilvl w:val="0"/>
          <w:numId w:val="10"/>
        </w:numPr>
      </w:pPr>
      <w:r>
        <w:t>大客户可演进到独立数据库或独立实例，但逻辑模型和迁移版本保持一致。</w:t>
      </w:r>
    </w:p>
    <w:p>
      <w:pPr>
        <w:pStyle w:val="ListBullet"/>
        <w:numPr>
          <w:ilvl w:val="0"/>
          <w:numId w:val="10"/>
        </w:numPr>
      </w:pPr>
      <w:r>
        <w:t>交易库不承担复杂全文检索和大规模分析；达到阈值后使用只读副本、搜索或分析库。</w:t>
      </w:r>
    </w:p>
    <w:p>
      <w:pPr>
        <w:pStyle w:val="ListBullet"/>
        <w:numPr>
          <w:ilvl w:val="0"/>
          <w:numId w:val="10"/>
        </w:numPr>
      </w:pPr>
      <w:r>
        <w:t>Redis不是交易事实来源；对象存储不替代数据库索引和元数据。</w:t>
      </w:r>
    </w:p>
    <w:p>
      <w:pPr>
        <w:pStyle w:val="ListBullet"/>
        <w:numPr>
          <w:ilvl w:val="0"/>
          <w:numId w:val="10"/>
        </w:numPr>
      </w:pPr>
      <w:r>
        <w:t>数据库Outbox是可靠事件的基础，消息队列只是传输通道。</w:t>
      </w:r>
    </w:p>
    <w:p>
      <w:pPr>
        <w:pStyle w:val="Heading2"/>
      </w:pPr>
      <w:r>
        <w:t>1.3 标识体系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376"/>
        <w:gridCol w:w="1966"/>
        <w:gridCol w:w="2307"/>
        <w:gridCol w:w="1709"/>
        <w:gridCol w:w="2002"/>
      </w:tblGrid>
      <w:tr>
        <w:trPr>
          <w:cantSplit/>
          <w:tblHeader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标识类型</w:t>
            </w:r>
          </w:p>
        </w:tc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数据类型</w:t>
            </w:r>
          </w:p>
        </w:tc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生成方</w:t>
            </w:r>
          </w:p>
        </w:tc>
        <w:tc>
          <w:tcPr>
            <w:tcW w:type="dxa" w:w="1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示例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平台记录主键</w:t>
            </w:r>
          </w:p>
        </w:tc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BIGINT</w:t>
            </w:r>
          </w:p>
        </w:tc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RuoYi服务端</w:t>
            </w:r>
          </w:p>
        </w:tc>
        <w:tc>
          <w:tcPr>
            <w:tcW w:type="dxa" w:w="1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1000001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sys_tenant.id、user、dept、role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业务租户编号</w:t>
            </w:r>
          </w:p>
        </w:tc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VARCHAR(20)</w:t>
            </w:r>
          </w:p>
        </w:tc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RuoYi租户服务</w:t>
            </w:r>
          </w:p>
        </w:tc>
        <w:tc>
          <w:tcPr>
            <w:tcW w:type="dxa" w:w="1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000001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所有租户业务表的tenant_id和拦截器条件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领域聚合ID</w:t>
            </w:r>
          </w:p>
        </w:tc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CHAR(26)</w:t>
            </w:r>
            <w:r>
              <w:rPr>
                <w:rFonts w:ascii="Calibri" w:hAnsi="Calibri" w:eastAsia="等线"/>
                <w:color w:val="202124"/>
                <w:sz w:val="18"/>
              </w:rPr>
              <w:t xml:space="preserve"> ASCII binary</w:t>
            </w:r>
          </w:p>
        </w:tc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服务端或离线终端</w:t>
            </w:r>
          </w:p>
        </w:tc>
        <w:tc>
          <w:tcPr>
            <w:tcW w:type="dxa" w:w="1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01J5...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订单、支付、退款、库存单据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业务单号</w:t>
            </w:r>
          </w:p>
        </w:tc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VARCHAR(40)</w:t>
            </w:r>
          </w:p>
        </w:tc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编号服务/终端规则</w:t>
            </w:r>
          </w:p>
        </w:tc>
        <w:tc>
          <w:tcPr>
            <w:tcW w:type="dxa" w:w="1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SO202608150001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人工查找、打印、客服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外部对象ID</w:t>
            </w:r>
          </w:p>
        </w:tc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VARCHAR(128)</w:t>
            </w:r>
          </w:p>
        </w:tc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第三方平台</w:t>
            </w:r>
          </w:p>
        </w:tc>
        <w:tc>
          <w:tcPr>
            <w:tcW w:type="dxa" w:w="1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平台订单号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映射与幂等，不作为内部主键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事件ID</w:t>
            </w:r>
          </w:p>
        </w:tc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CHAR(26)</w:t>
            </w:r>
          </w:p>
        </w:tc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事件生产者</w:t>
            </w:r>
          </w:p>
        </w:tc>
        <w:tc>
          <w:tcPr>
            <w:tcW w:type="dxa" w:w="1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ULID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Outbox、Inbox、Webhook幂等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设备ID</w:t>
            </w:r>
          </w:p>
        </w:tc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CHAR(26)</w:t>
            </w:r>
          </w:p>
        </w:tc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设备激活服务</w:t>
            </w:r>
          </w:p>
        </w:tc>
        <w:tc>
          <w:tcPr>
            <w:tcW w:type="dxa" w:w="1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ULID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POS实例身份，不等于硬件序列号</w:t>
            </w:r>
          </w:p>
        </w:tc>
      </w:tr>
    </w:tbl>
    <w:p>
      <w:pPr>
        <w:spacing w:before="0" w:after="40"/>
      </w:pPr>
    </w:p>
    <w:p>
      <w:r>
        <w:t>ULID必须使用大写规范形式并以ASCII二进制排序。业务单号不承载数据库关系，不得通过解析单号推导租户、门店或日期事实。</w:t>
      </w:r>
    </w:p>
    <w:p>
      <w:r>
        <w:t>租户类型以[RuoYi-Vue-Plus 5.X官方建表脚本](https://raw.githubusercontent.com/dromara/RuoYi-Vue-Plus/5.X/script/sql/ry_vue_5.X.sql)为基线：</w:t>
      </w:r>
      <w:r>
        <w:rPr>
          <w:rFonts w:ascii="Consolas" w:hAnsi="Consolas" w:eastAsia="等线"/>
          <w:color w:val="1F4D78"/>
          <w:sz w:val="20"/>
        </w:rPr>
        <w:t>sys_tenant.id</w:t>
      </w:r>
      <w:r>
        <w:t>为</w:t>
      </w:r>
      <w:r>
        <w:rPr>
          <w:rFonts w:ascii="Consolas" w:hAnsi="Consolas" w:eastAsia="等线"/>
          <w:color w:val="1F4D78"/>
          <w:sz w:val="20"/>
        </w:rPr>
        <w:t>BIGINT</w:t>
      </w:r>
      <w:r>
        <w:t>，业务租户编号</w:t>
      </w:r>
      <w:r>
        <w:rPr>
          <w:rFonts w:ascii="Consolas" w:hAnsi="Consolas" w:eastAsia="等线"/>
          <w:color w:val="1F4D78"/>
          <w:sz w:val="20"/>
        </w:rPr>
        <w:t>tenant_id</w:t>
      </w:r>
      <w:r>
        <w:t>为</w:t>
      </w:r>
      <w:r>
        <w:rPr>
          <w:rFonts w:ascii="Consolas" w:hAnsi="Consolas" w:eastAsia="等线"/>
          <w:color w:val="1F4D78"/>
          <w:sz w:val="20"/>
        </w:rPr>
        <w:t>VARCHAR(20)</w:t>
      </w:r>
      <w:r>
        <w:t>。</w:t>
      </w:r>
    </w:p>
    <w:p>
      <w:pPr>
        <w:pStyle w:val="Heading2"/>
      </w:pPr>
      <w:r>
        <w:t>1.4 时间与业务日期</w:t>
      </w:r>
    </w:p>
    <w:p>
      <w:pPr>
        <w:pStyle w:val="ListBullet"/>
        <w:numPr>
          <w:ilvl w:val="0"/>
          <w:numId w:val="10"/>
        </w:numPr>
      </w:pPr>
      <w:r>
        <w:t>数据库存储时间统一使用UTC语义的</w:t>
      </w:r>
      <w:r>
        <w:rPr>
          <w:rFonts w:ascii="Consolas" w:hAnsi="Consolas" w:eastAsia="等线"/>
          <w:color w:val="1F4D78"/>
          <w:sz w:val="20"/>
        </w:rPr>
        <w:t>DATETIME(3)</w:t>
      </w:r>
      <w:r>
        <w:t>；JDBC会话时区固定为UTC。</w:t>
      </w:r>
    </w:p>
    <w:p>
      <w:pPr>
        <w:pStyle w:val="ListBullet"/>
        <w:numPr>
          <w:ilvl w:val="0"/>
          <w:numId w:val="10"/>
        </w:numPr>
      </w:pPr>
      <w:r>
        <w:t>API使用ISO 8601并携带时区偏移。</w:t>
      </w:r>
    </w:p>
    <w:p>
      <w:pPr>
        <w:pStyle w:val="ListBullet"/>
        <w:numPr>
          <w:ilvl w:val="0"/>
          <w:numId w:val="10"/>
        </w:numPr>
      </w:pPr>
      <w:r>
        <w:t>所有交易同时保存</w:t>
      </w:r>
      <w:r>
        <w:rPr>
          <w:rFonts w:ascii="Consolas" w:hAnsi="Consolas" w:eastAsia="等线"/>
          <w:color w:val="1F4D78"/>
          <w:sz w:val="20"/>
        </w:rPr>
        <w:t>occurred_at</w:t>
      </w:r>
      <w:r>
        <w:t>和</w:t>
      </w:r>
      <w:r>
        <w:rPr>
          <w:rFonts w:ascii="Consolas" w:hAnsi="Consolas" w:eastAsia="等线"/>
          <w:color w:val="1F4D78"/>
          <w:sz w:val="20"/>
        </w:rPr>
        <w:t>business_date</w:t>
      </w:r>
      <w:r>
        <w:t>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等线"/>
          <w:color w:val="1F4D78"/>
          <w:sz w:val="20"/>
        </w:rPr>
        <w:t>business_date</w:t>
      </w:r>
      <w:r>
        <w:t>由门店营业日历和班次决定，可以不同于自然日期。</w:t>
      </w:r>
    </w:p>
    <w:p>
      <w:pPr>
        <w:pStyle w:val="ListBullet"/>
        <w:numPr>
          <w:ilvl w:val="0"/>
          <w:numId w:val="10"/>
        </w:numPr>
      </w:pPr>
      <w:r>
        <w:t>第三方时间同时保存原始时间、解析时区和平台标准时间；无法确定时区时进入异常队列。</w:t>
      </w:r>
    </w:p>
    <w:p>
      <w:pPr>
        <w:pStyle w:val="ListBullet"/>
        <w:numPr>
          <w:ilvl w:val="0"/>
          <w:numId w:val="10"/>
        </w:numPr>
      </w:pPr>
      <w:r>
        <w:t>客户端时间不可信。服务端记录</w:t>
      </w:r>
      <w:r>
        <w:rPr>
          <w:rFonts w:ascii="Consolas" w:hAnsi="Consolas" w:eastAsia="等线"/>
          <w:color w:val="1F4D78"/>
          <w:sz w:val="20"/>
        </w:rPr>
        <w:t>received_at</w:t>
      </w:r>
      <w:r>
        <w:t>，并对明显漂移的</w:t>
      </w:r>
      <w:r>
        <w:rPr>
          <w:rFonts w:ascii="Consolas" w:hAnsi="Consolas" w:eastAsia="等线"/>
          <w:color w:val="1F4D78"/>
          <w:sz w:val="20"/>
        </w:rPr>
        <w:t>occurred_at</w:t>
      </w:r>
      <w:r>
        <w:t>标记风险。</w:t>
      </w:r>
    </w:p>
    <w:p>
      <w:pPr>
        <w:pStyle w:val="Heading2"/>
      </w:pPr>
      <w:r>
        <w:t>1.5 金额、价格、成本和数量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27"/>
        <w:gridCol w:w="2621"/>
        <w:gridCol w:w="4212"/>
      </w:tblGrid>
      <w:tr>
        <w:trPr>
          <w:cantSplit/>
          <w:tblHeader w:val="true"/>
        </w:trPr>
        <w:tc>
          <w:tcPr>
            <w:tcW w:type="dxa" w:w="2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数据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存储规则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应收、实收、退款、优惠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BIGINT</w:t>
            </w:r>
            <w:r>
              <w:rPr>
                <w:rFonts w:ascii="Calibri" w:hAnsi="Calibri" w:eastAsia="等线"/>
                <w:color w:val="202124"/>
                <w:sz w:val="19"/>
              </w:rPr>
              <w:t>最小货币单位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人民币为分；字段名以</w:t>
            </w:r>
            <w:r>
              <w:rPr>
                <w:rFonts w:ascii="Consolas" w:hAnsi="Consolas" w:eastAsia="等线"/>
                <w:color w:val="1F4D78"/>
                <w:sz w:val="19"/>
              </w:rPr>
              <w:t>_minor</w:t>
            </w:r>
            <w:r>
              <w:rPr>
                <w:rFonts w:ascii="Calibri" w:hAnsi="Calibri" w:eastAsia="等线"/>
                <w:color w:val="202124"/>
                <w:sz w:val="19"/>
              </w:rPr>
              <w:t>结尾</w:t>
            </w:r>
          </w:p>
        </w:tc>
      </w:tr>
      <w:tr>
        <w:trPr>
          <w:cantSplit/>
        </w:trPr>
        <w:tc>
          <w:tcPr>
            <w:tcW w:type="dxa" w:w="2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币种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CHAR(3)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ISO 4217，如</w:t>
            </w:r>
            <w:r>
              <w:rPr>
                <w:rFonts w:ascii="Consolas" w:hAnsi="Consolas" w:eastAsia="等线"/>
                <w:color w:val="1F4D78"/>
                <w:sz w:val="19"/>
              </w:rPr>
              <w:t>CNY</w:t>
            </w:r>
          </w:p>
        </w:tc>
      </w:tr>
      <w:tr>
        <w:trPr>
          <w:cantSplit/>
        </w:trPr>
        <w:tc>
          <w:tcPr>
            <w:tcW w:type="dxa" w:w="2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标准单价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DECIMAL(19,6)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支持称重和税额中间计算</w:t>
            </w:r>
          </w:p>
        </w:tc>
      </w:tr>
      <w:tr>
        <w:trPr>
          <w:cantSplit/>
        </w:trPr>
        <w:tc>
          <w:tcPr>
            <w:tcW w:type="dxa" w:w="2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单位成本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DECIMAL(19,6)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移动加权计算，不直接展示为结算金额</w:t>
            </w:r>
          </w:p>
        </w:tc>
      </w:tr>
      <w:tr>
        <w:trPr>
          <w:cantSplit/>
        </w:trPr>
        <w:tc>
          <w:tcPr>
            <w:tcW w:type="dxa" w:w="2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数量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DECIMAL(19,6)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禁止浮点；商品可配置允许精度</w:t>
            </w:r>
          </w:p>
        </w:tc>
      </w:tr>
      <w:tr>
        <w:trPr>
          <w:cantSplit/>
        </w:trPr>
        <w:tc>
          <w:tcPr>
            <w:tcW w:type="dxa" w:w="2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税率/折扣率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DECIMAL(12,8)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0至1的小数语义</w:t>
            </w:r>
          </w:p>
        </w:tc>
      </w:tr>
      <w:tr>
        <w:trPr>
          <w:cantSplit/>
        </w:trPr>
        <w:tc>
          <w:tcPr>
            <w:tcW w:type="dxa" w:w="2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汇率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DECIMAL(19,8)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商业V1只启用CNY，结构预留</w:t>
            </w:r>
          </w:p>
        </w:tc>
      </w:tr>
    </w:tbl>
    <w:p>
      <w:pPr>
        <w:spacing w:before="0" w:after="40"/>
      </w:pPr>
    </w:p>
    <w:p>
      <w:r>
        <w:t>Java使用</w:t>
      </w:r>
      <w:r>
        <w:rPr>
          <w:rFonts w:ascii="Consolas" w:hAnsi="Consolas" w:eastAsia="等线"/>
          <w:color w:val="1F4D78"/>
          <w:sz w:val="20"/>
        </w:rPr>
        <w:t>BigDecimal</w:t>
      </w:r>
      <w:r>
        <w:t>和金额值对象，Dart使用整数最小货币单位与受控Decimal实现。禁止在金额链路使用</w:t>
      </w:r>
      <w:r>
        <w:rPr>
          <w:rFonts w:ascii="Consolas" w:hAnsi="Consolas" w:eastAsia="等线"/>
          <w:color w:val="1F4D78"/>
          <w:sz w:val="20"/>
        </w:rPr>
        <w:t>float</w:t>
      </w:r>
      <w:r>
        <w:t>、</w:t>
      </w:r>
      <w:r>
        <w:rPr>
          <w:rFonts w:ascii="Consolas" w:hAnsi="Consolas" w:eastAsia="等线"/>
          <w:color w:val="1F4D78"/>
          <w:sz w:val="20"/>
        </w:rPr>
        <w:t>double</w:t>
      </w:r>
      <w:r>
        <w:t>或JavaScript Number进行最终计算。</w:t>
      </w:r>
    </w:p>
    <w:p>
      <w:pPr>
        <w:pStyle w:val="Heading2"/>
      </w:pPr>
      <w:r>
        <w:t>1.6 状态字段</w:t>
      </w:r>
    </w:p>
    <w:p>
      <w:pPr>
        <w:pStyle w:val="ListBullet"/>
        <w:numPr>
          <w:ilvl w:val="0"/>
          <w:numId w:val="10"/>
        </w:numPr>
      </w:pPr>
      <w:r>
        <w:t>生命周期状态使用可读的</w:t>
      </w:r>
      <w:r>
        <w:rPr>
          <w:rFonts w:ascii="Consolas" w:hAnsi="Consolas" w:eastAsia="等线"/>
          <w:color w:val="1F4D78"/>
          <w:sz w:val="20"/>
        </w:rPr>
        <w:t>VARCHAR(32)</w:t>
      </w:r>
      <w:r>
        <w:t>稳定代码，不使用含义不透明的魔法整数。</w:t>
      </w:r>
    </w:p>
    <w:p>
      <w:pPr>
        <w:pStyle w:val="ListBullet"/>
        <w:numPr>
          <w:ilvl w:val="0"/>
          <w:numId w:val="10"/>
        </w:numPr>
      </w:pPr>
      <w:r>
        <w:t>状态代码一经发布不得重解释；新增状态必须保持旧客户端可安全降级。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等线"/>
          <w:color w:val="1F4D78"/>
          <w:sz w:val="20"/>
        </w:rPr>
        <w:t>status</w:t>
      </w:r>
      <w:r>
        <w:t>表示主状态；异常、风险、同步、履约等正交维度使用独立字段。</w:t>
      </w:r>
    </w:p>
    <w:p>
      <w:pPr>
        <w:pStyle w:val="ListBullet"/>
        <w:numPr>
          <w:ilvl w:val="0"/>
          <w:numId w:val="10"/>
        </w:numPr>
      </w:pPr>
      <w:r>
        <w:t>每次核心状态迁移写入状态历史或不可变业务流水，并带命令ID、操作者、原因和时间。</w:t>
      </w:r>
    </w:p>
    <w:p>
      <w:pPr>
        <w:pStyle w:val="Heading1"/>
      </w:pPr>
      <w:r>
        <w:t>二、领域边界与数据所有权</w:t>
      </w:r>
    </w:p>
    <w:p>
      <w:pPr>
        <w:pStyle w:val="Heading2"/>
      </w:pPr>
      <w:r>
        <w:t>2.1 有界上下文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294"/>
        <w:gridCol w:w="1984"/>
        <w:gridCol w:w="2545"/>
        <w:gridCol w:w="1625"/>
        <w:gridCol w:w="1912"/>
      </w:tblGrid>
      <w:tr>
        <w:trPr>
          <w:cantSplit/>
          <w:tblHeader w:val="true"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领域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主要职责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核心聚合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主要表前缀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权威事实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平台与IAM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租户、组织、用户、权限、套餐、审计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Tenant、Store、DeviceGrant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sys_</w:t>
            </w:r>
            <w:r>
              <w:rPr>
                <w:rFonts w:ascii="Calibri" w:hAnsi="Calibri" w:eastAsia="等线"/>
                <w:color w:val="202124"/>
                <w:sz w:val="18"/>
              </w:rPr>
              <w:t>/</w:t>
            </w:r>
            <w:r>
              <w:rPr>
                <w:rFonts w:ascii="Consolas" w:hAnsi="Consolas" w:eastAsia="等线"/>
                <w:color w:val="1F4D78"/>
                <w:sz w:val="18"/>
              </w:rPr>
              <w:t>biz_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租户和身份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设备与同步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终端、激活、版本、数据包、游标、冲突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Terminal、SyncPackage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dev_</w:t>
            </w:r>
            <w:r>
              <w:rPr>
                <w:rFonts w:ascii="Calibri" w:hAnsi="Calibri" w:eastAsia="等线"/>
                <w:color w:val="202124"/>
                <w:sz w:val="18"/>
              </w:rPr>
              <w:t>/</w:t>
            </w:r>
            <w:r>
              <w:rPr>
                <w:rFonts w:ascii="Consolas" w:hAnsi="Consolas" w:eastAsia="等线"/>
                <w:color w:val="1F4D78"/>
                <w:sz w:val="18"/>
              </w:rPr>
              <w:t>sync_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设备与同步状态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商品主数据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商品、SKU、条码、单位、门店范围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Product、Sku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prd_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商品身份和属性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价格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价格簿、门店价、发布版本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PriceBook、PriceRelease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prc_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基础成交价格候选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促销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活动、规则、优惠券、优惠分摊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Campaign、PromotionSnapshot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prm_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优惠规则与计算快照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订单与班次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销售、退货引用、挂单、班次、现金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SalesOrder、Shift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ord_</w:t>
            </w:r>
            <w:r>
              <w:rPr>
                <w:rFonts w:ascii="Calibri" w:hAnsi="Calibri" w:eastAsia="等线"/>
                <w:color w:val="202124"/>
                <w:sz w:val="18"/>
              </w:rPr>
              <w:t>/</w:t>
            </w:r>
            <w:r>
              <w:rPr>
                <w:rFonts w:ascii="Consolas" w:hAnsi="Consolas" w:eastAsia="等线"/>
                <w:color w:val="1F4D78"/>
                <w:sz w:val="18"/>
              </w:rPr>
              <w:t>shf_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商品成交事实与应收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支付与退款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支付意图、尝试、退款、渠道事件、对账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Payment、Refund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pay_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资金指令与渠道结果引用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库存与成本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余额、流水、预占、盘点、成本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StockLedger、Reservation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inv_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库存数量和成本事实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采购供应链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供应商、采购、收货、调拨、补货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PurchaseOrder、Transfer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pur_</w:t>
            </w:r>
            <w:r>
              <w:rPr>
                <w:rFonts w:ascii="Calibri" w:hAnsi="Calibri" w:eastAsia="等线"/>
                <w:color w:val="202124"/>
                <w:sz w:val="18"/>
              </w:rPr>
              <w:t>/</w:t>
            </w:r>
            <w:r>
              <w:rPr>
                <w:rFonts w:ascii="Consolas" w:hAnsi="Consolas" w:eastAsia="等线"/>
                <w:color w:val="1F4D78"/>
                <w:sz w:val="18"/>
              </w:rPr>
              <w:t>sup_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采购与流转单据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会员权益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会员、身份映射、积分、券、储值引用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Member、PointsAccount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mbr_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客户身份与权益账本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结算与往来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供应商、加盟商、渠道往来和结算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SettlementStatement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set_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业务结算事实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连接器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授权、映射、原始报文、运行任务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ConnectorInstance、Mapping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con_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外部映射和集成过程</w:t>
            </w:r>
          </w:p>
        </w:tc>
      </w:tr>
      <w:tr>
        <w:trPr>
          <w:cantSplit/>
        </w:trPr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报表语义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指标定义、聚合和导出任务</w:t>
            </w:r>
          </w:p>
        </w:tc>
        <w:tc>
          <w:tcPr>
            <w:tcW w:type="dxa" w:w="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MetricDefinition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rpt_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指标口径，不回写交易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2.2 跨领域引用规则</w:t>
      </w:r>
    </w:p>
    <w:p>
      <w:pPr>
        <w:pStyle w:val="ListBullet"/>
        <w:numPr>
          <w:ilvl w:val="0"/>
          <w:numId w:val="10"/>
        </w:numPr>
      </w:pPr>
      <w:r>
        <w:t>领域之间只保存对方聚合ID和必要快照，不建立可级联删除的跨领域外键。</w:t>
      </w:r>
    </w:p>
    <w:p>
      <w:pPr>
        <w:pStyle w:val="ListBullet"/>
        <w:numPr>
          <w:ilvl w:val="0"/>
          <w:numId w:val="10"/>
        </w:numPr>
      </w:pPr>
      <w:r>
        <w:t>同库不代表可跨领域写表。Repository只能访问所属模块表。</w:t>
      </w:r>
    </w:p>
    <w:p>
      <w:pPr>
        <w:pStyle w:val="ListBullet"/>
        <w:numPr>
          <w:ilvl w:val="0"/>
          <w:numId w:val="10"/>
        </w:numPr>
      </w:pPr>
      <w:r>
        <w:t>报表可通过只读视图、查询服务或分析模型组合数据，不得反向更新交易表。</w:t>
      </w:r>
    </w:p>
    <w:p>
      <w:pPr>
        <w:pStyle w:val="ListBullet"/>
        <w:numPr>
          <w:ilvl w:val="0"/>
          <w:numId w:val="10"/>
        </w:numPr>
      </w:pPr>
      <w:r>
        <w:t>商品改名、条码变更、会员资料更新不得改变历史订单快照。</w:t>
      </w:r>
    </w:p>
    <w:p>
      <w:pPr>
        <w:pStyle w:val="ListBullet"/>
        <w:numPr>
          <w:ilvl w:val="0"/>
          <w:numId w:val="10"/>
        </w:numPr>
      </w:pPr>
      <w:r>
        <w:t>支付领域不修改订单表；订单应用层在接收支付事实后执行自身状态迁移。</w:t>
      </w:r>
    </w:p>
    <w:p>
      <w:pPr>
        <w:pStyle w:val="ListBullet"/>
        <w:numPr>
          <w:ilvl w:val="0"/>
          <w:numId w:val="10"/>
        </w:numPr>
      </w:pPr>
      <w:r>
        <w:t>库存领域不根据订单表轮询扣减；只消费明确的库存命令/事件并按业务键幂等。</w:t>
      </w:r>
    </w:p>
    <w:p>
      <w:pPr>
        <w:pStyle w:val="Heading2"/>
      </w:pPr>
      <w:r>
        <w:t>2.3 聚合事务边界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71"/>
        <w:gridCol w:w="3437"/>
        <w:gridCol w:w="3652"/>
      </w:tblGrid>
      <w:tr>
        <w:trPr>
          <w:cantSplit/>
          <w:tblHeader w:val="true"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聚合</w:t>
            </w:r>
          </w:p>
        </w:tc>
        <w:tc>
          <w:tcPr>
            <w:tcW w:type="dxa" w:w="3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一个事务内可以修改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禁止同事务直接修改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SalesOrder</w:t>
            </w:r>
          </w:p>
        </w:tc>
        <w:tc>
          <w:tcPr>
            <w:tcW w:type="dxa" w:w="3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订单头、行、调整、成交快照、订单状态历史、Outbox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支付、库存、会员账本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Payment</w:t>
            </w:r>
          </w:p>
        </w:tc>
        <w:tc>
          <w:tcPr>
            <w:tcW w:type="dxa" w:w="3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支付意图、支付尝试、渠道事件引用、状态历史、Outbox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订单、库存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Refund</w:t>
            </w:r>
          </w:p>
        </w:tc>
        <w:tc>
          <w:tcPr>
            <w:tcW w:type="dxa" w:w="3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退款单、退款尝试、状态历史、Outbox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原订单行、库存流水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StockLedger命令</w:t>
            </w:r>
          </w:p>
        </w:tc>
        <w:tc>
          <w:tcPr>
            <w:tcW w:type="dxa" w:w="3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库存流水、余额、成本流水、Outbox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订单和支付表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Reservation</w:t>
            </w:r>
          </w:p>
        </w:tc>
        <w:tc>
          <w:tcPr>
            <w:tcW w:type="dxa" w:w="3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预占头、预占行、状态历史、Outbox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外部订单表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Shift</w:t>
            </w:r>
          </w:p>
        </w:tc>
        <w:tc>
          <w:tcPr>
            <w:tcW w:type="dxa" w:w="3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班次、现金流水、交班汇总、Outbox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支付渠道账单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MemberAccount</w:t>
            </w:r>
          </w:p>
        </w:tc>
        <w:tc>
          <w:tcPr>
            <w:tcW w:type="dxa" w:w="3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积分/储值流水、余额、Outbox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订单与支付表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三、多租户、组织与门店模型</w:t>
      </w:r>
    </w:p>
    <w:p>
      <w:pPr>
        <w:pStyle w:val="Heading2"/>
      </w:pPr>
      <w:r>
        <w:t>3.1 层级模型</w:t>
      </w:r>
    </w:p>
    <w:p>
      <w:pPr>
        <w:spacing w:before="80" w:after="120" w:line="252" w:lineRule="auto"/>
        <w:ind w:left="115" w:right="115"/>
        <w:shd w:fill="F4F6F9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 w:eastAsia="等线"/>
          <w:color w:val="202124"/>
          <w:sz w:val="17"/>
        </w:rPr>
        <w:t>Tenant（SaaS隔离边界）</w:t>
        <w:br/>
        <w:t>└─ Group/Company（经营主体，可选）</w:t>
        <w:br/>
        <w:t xml:space="preserve">   ├─ Brand（品牌）</w:t>
        <w:br/>
        <w:t xml:space="preserve">   ├─ Region（区域）</w:t>
        <w:br/>
        <w:t xml:space="preserve">   ├─ Franchisee（加盟商/核算主体，可选）</w:t>
        <w:br/>
        <w:t xml:space="preserve">   └─ Store（门店）</w:t>
        <w:br/>
        <w:t xml:space="preserve">      ├─ Warehouse（门店仓/虚拟仓）</w:t>
        <w:br/>
        <w:t xml:space="preserve">      └─ Terminal（POS/PDA/自助设备实例）</w:t>
      </w:r>
    </w:p>
    <w:p>
      <w:r>
        <w:t>租户不是门店，部门树也不是库存组织。组织权限、经营核算、库存地点和设备归属必须分开建模。</w:t>
      </w:r>
    </w:p>
    <w:p>
      <w:pPr>
        <w:pStyle w:val="Heading2"/>
      </w:pPr>
      <w:r>
        <w:t>3.2 平台与经营组织表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67"/>
        <w:gridCol w:w="2312"/>
        <w:gridCol w:w="2294"/>
        <w:gridCol w:w="278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表名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说明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主键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等线"/>
                <w:color w:val="1F4D78"/>
                <w:sz w:val="18"/>
              </w:rPr>
              <w:t>sys_tenant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若依租户基础表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BIGINT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平台权威，不复制租户状态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等线"/>
                <w:color w:val="1F4D78"/>
                <w:sz w:val="18"/>
              </w:rPr>
              <w:t>sys_user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若依用户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BIGINT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登录身份，不直接代表员工档案全部信息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等线"/>
                <w:color w:val="1F4D78"/>
                <w:sz w:val="18"/>
              </w:rPr>
              <w:t>sys_dept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若依权限组织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BIGINT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只用于权限组织树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等线"/>
                <w:color w:val="1F4D78"/>
                <w:sz w:val="18"/>
              </w:rPr>
              <w:t>biz_company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法人/经营主体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ULID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(tenant_id, company_code)</w:t>
            </w:r>
            <w:r>
              <w:rPr>
                <w:rFonts w:ascii="Calibri" w:hAnsi="Calibri" w:eastAsia="等线"/>
                <w:color w:val="202124"/>
                <w:sz w:val="18"/>
              </w:rPr>
              <w:t>唯一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等线"/>
                <w:color w:val="1F4D78"/>
                <w:sz w:val="18"/>
              </w:rPr>
              <w:t>biz_brand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经营品牌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ULID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(tenant_id, brand_code)</w:t>
            </w:r>
            <w:r>
              <w:rPr>
                <w:rFonts w:ascii="Calibri" w:hAnsi="Calibri" w:eastAsia="等线"/>
                <w:color w:val="202124"/>
                <w:sz w:val="18"/>
              </w:rPr>
              <w:t>唯一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等线"/>
                <w:color w:val="1F4D78"/>
                <w:sz w:val="18"/>
              </w:rPr>
              <w:t>biz_region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经营区域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ULID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支持区域树，禁止循环父子关系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等线"/>
                <w:color w:val="1F4D78"/>
                <w:sz w:val="18"/>
              </w:rPr>
              <w:t>biz_franchisee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加盟商/独立核算主体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ULID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可关联公司、结算策略和数据范围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等线"/>
                <w:color w:val="1F4D78"/>
                <w:sz w:val="18"/>
              </w:rPr>
              <w:t>biz_store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门店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ULID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(tenant_id, store_code)</w:t>
            </w:r>
            <w:r>
              <w:rPr>
                <w:rFonts w:ascii="Calibri" w:hAnsi="Calibri" w:eastAsia="等线"/>
                <w:color w:val="202124"/>
                <w:sz w:val="18"/>
              </w:rPr>
              <w:t>唯一，保存时区和营业日历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等线"/>
                <w:color w:val="1F4D78"/>
                <w:sz w:val="18"/>
              </w:rPr>
              <w:t>biz_warehouse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仓库/库位上层地点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ULID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(tenant_id, warehouse_code)</w:t>
            </w:r>
            <w:r>
              <w:rPr>
                <w:rFonts w:ascii="Calibri" w:hAnsi="Calibri" w:eastAsia="等线"/>
                <w:color w:val="202124"/>
                <w:sz w:val="18"/>
              </w:rPr>
              <w:t>唯一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等线"/>
                <w:color w:val="1F4D78"/>
                <w:sz w:val="18"/>
              </w:rPr>
              <w:t>dev_terminal</w:t>
            </w:r>
          </w:p>
        </w:tc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终端实例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ULID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8"/>
              </w:rPr>
              <w:t>(tenant_id, terminal_code)</w:t>
            </w:r>
            <w:r>
              <w:rPr>
                <w:rFonts w:ascii="Calibri" w:hAnsi="Calibri" w:eastAsia="等线"/>
                <w:color w:val="202124"/>
                <w:sz w:val="18"/>
              </w:rPr>
              <w:t>唯一，绑定门店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3.3 租户字段约束</w:t>
      </w:r>
    </w:p>
    <w:p>
      <w:pPr>
        <w:pStyle w:val="ListBullet"/>
        <w:numPr>
          <w:ilvl w:val="0"/>
          <w:numId w:val="10"/>
        </w:numPr>
      </w:pPr>
      <w:r>
        <w:t>所有租户业务表必须有</w:t>
      </w:r>
      <w:r>
        <w:rPr>
          <w:rFonts w:ascii="Consolas" w:hAnsi="Consolas" w:eastAsia="等线"/>
          <w:color w:val="1F4D78"/>
          <w:sz w:val="20"/>
        </w:rPr>
        <w:t>tenant_id VARCHAR(20) NOT NULL</w:t>
      </w:r>
      <w:r>
        <w:t>，类型与RuoYi 5.X租户拦截器和建表脚本保持一致。</w:t>
      </w:r>
    </w:p>
    <w:p>
      <w:pPr>
        <w:pStyle w:val="ListBullet"/>
        <w:numPr>
          <w:ilvl w:val="0"/>
          <w:numId w:val="10"/>
        </w:numPr>
      </w:pPr>
      <w:r>
        <w:t>唯一键必须把</w:t>
      </w:r>
      <w:r>
        <w:rPr>
          <w:rFonts w:ascii="Consolas" w:hAnsi="Consolas" w:eastAsia="等线"/>
          <w:color w:val="1F4D78"/>
          <w:sz w:val="20"/>
        </w:rPr>
        <w:t>tenant_id</w:t>
      </w:r>
      <w:r>
        <w:t>放入范围，例如</w:t>
      </w:r>
      <w:r>
        <w:rPr>
          <w:rFonts w:ascii="Consolas" w:hAnsi="Consolas" w:eastAsia="等线"/>
          <w:color w:val="1F4D78"/>
          <w:sz w:val="20"/>
        </w:rPr>
        <w:t>UNIQUE(tenant_id, store_code)</w:t>
      </w:r>
      <w:r>
        <w:t>。</w:t>
      </w:r>
    </w:p>
    <w:p>
      <w:pPr>
        <w:pStyle w:val="ListBullet"/>
        <w:numPr>
          <w:ilvl w:val="0"/>
          <w:numId w:val="10"/>
        </w:numPr>
      </w:pPr>
      <w:r>
        <w:t>对全局ULID主键仍保留</w:t>
      </w:r>
      <w:r>
        <w:rPr>
          <w:rFonts w:ascii="Consolas" w:hAnsi="Consolas" w:eastAsia="等线"/>
          <w:color w:val="1F4D78"/>
          <w:sz w:val="20"/>
        </w:rPr>
        <w:t>tenant_id</w:t>
      </w:r>
      <w:r>
        <w:t>索引，用于查询裁剪、隔离和归档。</w:t>
      </w:r>
    </w:p>
    <w:p>
      <w:pPr>
        <w:pStyle w:val="ListBullet"/>
        <w:numPr>
          <w:ilvl w:val="0"/>
          <w:numId w:val="10"/>
        </w:numPr>
      </w:pPr>
      <w:r>
        <w:t>子表可以冗余</w:t>
      </w:r>
      <w:r>
        <w:rPr>
          <w:rFonts w:ascii="Consolas" w:hAnsi="Consolas" w:eastAsia="等线"/>
          <w:color w:val="1F4D78"/>
          <w:sz w:val="20"/>
        </w:rPr>
        <w:t>tenant_id</w:t>
      </w:r>
      <w:r>
        <w:t>，并通过应用与测试保证和父表一致，避免仅靠父表Join才能隔离。</w:t>
      </w:r>
    </w:p>
    <w:p>
      <w:pPr>
        <w:pStyle w:val="ListBullet"/>
        <w:numPr>
          <w:ilvl w:val="0"/>
          <w:numId w:val="10"/>
        </w:numPr>
      </w:pPr>
      <w:r>
        <w:t>平台跨租户任务必须使用独立平台身份，显式声明目标租户并记录审计。</w:t>
      </w:r>
    </w:p>
    <w:p>
      <w:pPr>
        <w:pStyle w:val="ListBullet"/>
        <w:numPr>
          <w:ilvl w:val="0"/>
          <w:numId w:val="10"/>
        </w:numPr>
      </w:pPr>
      <w:r>
        <w:t>客户端提交的</w:t>
      </w:r>
      <w:r>
        <w:rPr>
          <w:rFonts w:ascii="Consolas" w:hAnsi="Consolas" w:eastAsia="等线"/>
          <w:color w:val="1F4D78"/>
          <w:sz w:val="20"/>
        </w:rPr>
        <w:t>tenant_id</w:t>
      </w:r>
      <w:r>
        <w:t>只作为协议字段校验，最终值来自设备/令牌上下文。</w:t>
      </w:r>
    </w:p>
    <w:p>
      <w:pPr>
        <w:pStyle w:val="Heading1"/>
      </w:pPr>
      <w:r>
        <w:t>四、通用字段与表设计规范</w:t>
      </w:r>
    </w:p>
    <w:p>
      <w:pPr>
        <w:pStyle w:val="Heading2"/>
      </w:pPr>
      <w:r>
        <w:t>4.1 通用字段模板</w:t>
      </w:r>
    </w:p>
    <w:p>
      <w:r>
        <w:t>业务主数据和交易表按适用场景使用以下字段：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67"/>
        <w:gridCol w:w="2838"/>
        <w:gridCol w:w="4255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id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CHAR(26)</w:t>
            </w:r>
            <w:r>
              <w:rPr>
                <w:rFonts w:ascii="Calibri" w:hAnsi="Calibri" w:eastAsia="等线"/>
                <w:color w:val="202124"/>
                <w:sz w:val="19"/>
              </w:rPr>
              <w:t>或平台</w:t>
            </w:r>
            <w:r>
              <w:rPr>
                <w:rFonts w:ascii="Consolas" w:hAnsi="Consolas" w:eastAsia="等线"/>
                <w:color w:val="1F4D78"/>
                <w:sz w:val="19"/>
              </w:rPr>
              <w:t>BIGINT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主键；领域表ULID使用ASCII binary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tenant_id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VARCHAR(20)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非空，RuoYi租户编号，进入索引与权限上下文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record_version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BIGINT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乐观锁，初始1，每次业务修改递增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created_at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DATETIME(3)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UTC，数据库默认当前时间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created_by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BIGINT NULL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平台用户ID；设备自动任务可为空并另记actor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updated_at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DATETIME(3)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UTC，业务更新时刷新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updated_by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BIGINT NULL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最后修改用户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is_deleted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TINYINT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仅适用可软删除主数据，默认0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deleted_at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DATETIME(3) NULL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软删除时间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trace_id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VARCHAR(64) NULL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仅在需要定位创建来源的关键事实保存</w:t>
            </w:r>
          </w:p>
        </w:tc>
      </w:tr>
    </w:tbl>
    <w:p>
      <w:pPr>
        <w:spacing w:before="0" w:after="40"/>
      </w:pPr>
    </w:p>
    <w:p>
      <w:r>
        <w:t>交易账本不使用</w:t>
      </w:r>
      <w:r>
        <w:rPr>
          <w:rFonts w:ascii="Consolas" w:hAnsi="Consolas" w:eastAsia="等线"/>
          <w:color w:val="1F4D78"/>
          <w:sz w:val="20"/>
        </w:rPr>
        <w:t>is_deleted</w:t>
      </w:r>
      <w:r>
        <w:t>表示撤销。撤销、冲正、作废和关闭必须通过业务状态和反向流水表达。</w:t>
      </w:r>
    </w:p>
    <w:p>
      <w:pPr>
        <w:pStyle w:val="Heading2"/>
      </w:pPr>
      <w:r>
        <w:t>4.2 Actor模型</w:t>
      </w:r>
    </w:p>
    <w:p>
      <w:r>
        <w:t>核心操作记录统一Actor信息：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30"/>
        <w:gridCol w:w="6630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6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actor_type</w:t>
            </w:r>
          </w:p>
        </w:tc>
        <w:tc>
          <w:tcPr>
            <w:tcW w:type="dxa" w:w="6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USER</w:t>
            </w:r>
            <w:r>
              <w:rPr>
                <w:rFonts w:ascii="Calibri" w:hAnsi="Calibri" w:eastAsia="等线"/>
                <w:color w:val="202124"/>
                <w:sz w:val="19"/>
              </w:rPr>
              <w:t>、</w:t>
            </w:r>
            <w:r>
              <w:rPr>
                <w:rFonts w:ascii="Consolas" w:hAnsi="Consolas" w:eastAsia="等线"/>
                <w:color w:val="1F4D78"/>
                <w:sz w:val="19"/>
              </w:rPr>
              <w:t>DEVICE</w:t>
            </w:r>
            <w:r>
              <w:rPr>
                <w:rFonts w:ascii="Calibri" w:hAnsi="Calibri" w:eastAsia="等线"/>
                <w:color w:val="202124"/>
                <w:sz w:val="19"/>
              </w:rPr>
              <w:t>、</w:t>
            </w:r>
            <w:r>
              <w:rPr>
                <w:rFonts w:ascii="Consolas" w:hAnsi="Consolas" w:eastAsia="等线"/>
                <w:color w:val="1F4D78"/>
                <w:sz w:val="19"/>
              </w:rPr>
              <w:t>SYSTEM</w:t>
            </w:r>
            <w:r>
              <w:rPr>
                <w:rFonts w:ascii="Calibri" w:hAnsi="Calibri" w:eastAsia="等线"/>
                <w:color w:val="202124"/>
                <w:sz w:val="19"/>
              </w:rPr>
              <w:t>、</w:t>
            </w:r>
            <w:r>
              <w:rPr>
                <w:rFonts w:ascii="Consolas" w:hAnsi="Consolas" w:eastAsia="等线"/>
                <w:color w:val="1F4D78"/>
                <w:sz w:val="19"/>
              </w:rPr>
              <w:t>OPEN_API</w:t>
            </w:r>
            <w:r>
              <w:rPr>
                <w:rFonts w:ascii="Calibri" w:hAnsi="Calibri" w:eastAsia="等线"/>
                <w:color w:val="202124"/>
                <w:sz w:val="19"/>
              </w:rPr>
              <w:t>、</w:t>
            </w:r>
            <w:r>
              <w:rPr>
                <w:rFonts w:ascii="Consolas" w:hAnsi="Consolas" w:eastAsia="等线"/>
                <w:color w:val="1F4D78"/>
                <w:sz w:val="19"/>
              </w:rPr>
              <w:t>CONNECTOR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actor_id</w:t>
            </w:r>
          </w:p>
        </w:tc>
        <w:tc>
          <w:tcPr>
            <w:tcW w:type="dxa" w:w="6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对应身份ID的字符串形式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actor_name_snapshot</w:t>
            </w:r>
          </w:p>
        </w:tc>
        <w:tc>
          <w:tcPr>
            <w:tcW w:type="dxa" w:w="6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操作时显示名快照，不作为鉴权依据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reason_code</w:t>
            </w:r>
          </w:p>
        </w:tc>
        <w:tc>
          <w:tcPr>
            <w:tcW w:type="dxa" w:w="6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标准原因码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reason_text</w:t>
            </w:r>
          </w:p>
        </w:tc>
        <w:tc>
          <w:tcPr>
            <w:tcW w:type="dxa" w:w="6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必要补充说明，受长度和敏感信息限制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4.3 编码与排序规则</w:t>
      </w:r>
    </w:p>
    <w:p>
      <w:pPr>
        <w:pStyle w:val="ListBullet"/>
        <w:numPr>
          <w:ilvl w:val="0"/>
          <w:numId w:val="10"/>
        </w:numPr>
      </w:pPr>
      <w:r>
        <w:t>数据库字符集使用</w:t>
      </w:r>
      <w:r>
        <w:rPr>
          <w:rFonts w:ascii="Consolas" w:hAnsi="Consolas" w:eastAsia="等线"/>
          <w:color w:val="1F4D78"/>
          <w:sz w:val="20"/>
        </w:rPr>
        <w:t>utf8mb4</w:t>
      </w:r>
      <w:r>
        <w:t>。</w:t>
      </w:r>
    </w:p>
    <w:p>
      <w:pPr>
        <w:pStyle w:val="ListBullet"/>
        <w:numPr>
          <w:ilvl w:val="0"/>
          <w:numId w:val="10"/>
        </w:numPr>
      </w:pPr>
      <w:r>
        <w:t>业务自然语言字段使用经评审的中文友好排序规则。</w:t>
      </w:r>
    </w:p>
    <w:p>
      <w:pPr>
        <w:pStyle w:val="ListBullet"/>
        <w:numPr>
          <w:ilvl w:val="0"/>
          <w:numId w:val="10"/>
        </w:numPr>
      </w:pPr>
      <w:r>
        <w:t>ULID、幂等键、签名摘要、外部精确ID使用ASCII或二进制排序规则，保持大小写敏感。</w:t>
      </w:r>
    </w:p>
    <w:p>
      <w:pPr>
        <w:pStyle w:val="ListBullet"/>
        <w:numPr>
          <w:ilvl w:val="0"/>
          <w:numId w:val="10"/>
        </w:numPr>
      </w:pPr>
      <w:r>
        <w:t>条码默认按字符串保存，保留前导零；禁止存为数字。</w:t>
      </w:r>
    </w:p>
    <w:p>
      <w:pPr>
        <w:pStyle w:val="ListBullet"/>
        <w:numPr>
          <w:ilvl w:val="0"/>
          <w:numId w:val="10"/>
        </w:numPr>
      </w:pPr>
      <w:r>
        <w:t>手机号按标准化后的国家码和号码分列或形成标准E.164值。</w:t>
      </w:r>
    </w:p>
    <w:p>
      <w:pPr>
        <w:pStyle w:val="Heading2"/>
      </w:pPr>
      <w:r>
        <w:t>4.4 删除规则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158"/>
        <w:gridCol w:w="6202"/>
      </w:tblGrid>
      <w:tr>
        <w:trPr>
          <w:cantSplit/>
          <w:tblHeader w:val="true"/>
        </w:trPr>
        <w:tc>
          <w:tcPr>
            <w:tcW w:type="dxa" w:w="3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数据类型</w:t>
            </w:r>
          </w:p>
        </w:tc>
        <w:tc>
          <w:tcPr>
            <w:tcW w:type="dxa" w:w="6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删除策略</w:t>
            </w:r>
          </w:p>
        </w:tc>
      </w:tr>
      <w:tr>
        <w:trPr>
          <w:cantSplit/>
        </w:trPr>
        <w:tc>
          <w:tcPr>
            <w:tcW w:type="dxa" w:w="3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商品、供应商、门店等主数据</w:t>
            </w:r>
          </w:p>
        </w:tc>
        <w:tc>
          <w:tcPr>
            <w:tcW w:type="dxa" w:w="6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停用优先；无引用时才允许软删除</w:t>
            </w:r>
          </w:p>
        </w:tc>
      </w:tr>
      <w:tr>
        <w:trPr>
          <w:cantSplit/>
        </w:trPr>
        <w:tc>
          <w:tcPr>
            <w:tcW w:type="dxa" w:w="3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订单、支付、退款、库存、账本</w:t>
            </w:r>
          </w:p>
        </w:tc>
        <w:tc>
          <w:tcPr>
            <w:tcW w:type="dxa" w:w="6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永不物理删除；使用状态、冲正和归档</w:t>
            </w:r>
          </w:p>
        </w:tc>
      </w:tr>
      <w:tr>
        <w:trPr>
          <w:cantSplit/>
        </w:trPr>
        <w:tc>
          <w:tcPr>
            <w:tcW w:type="dxa" w:w="3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临时导入文件</w:t>
            </w:r>
          </w:p>
        </w:tc>
        <w:tc>
          <w:tcPr>
            <w:tcW w:type="dxa" w:w="6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按保留策略删除对象和元数据</w:t>
            </w:r>
          </w:p>
        </w:tc>
      </w:tr>
      <w:tr>
        <w:trPr>
          <w:cantSplit/>
        </w:trPr>
        <w:tc>
          <w:tcPr>
            <w:tcW w:type="dxa" w:w="3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原始Webhook/连接器报文</w:t>
            </w:r>
          </w:p>
        </w:tc>
        <w:tc>
          <w:tcPr>
            <w:tcW w:type="dxa" w:w="6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按合同、安全和排障期限归档或删除</w:t>
            </w:r>
          </w:p>
        </w:tc>
      </w:tr>
      <w:tr>
        <w:trPr>
          <w:cantSplit/>
        </w:trPr>
        <w:tc>
          <w:tcPr>
            <w:tcW w:type="dxa" w:w="3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隐私资料</w:t>
            </w:r>
          </w:p>
        </w:tc>
        <w:tc>
          <w:tcPr>
            <w:tcW w:type="dxa" w:w="6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依法执行匿名化/删除请求，同时保留不可关联的法定交易凭证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五、商品、价格与促销数据模型</w:t>
      </w:r>
    </w:p>
    <w:p>
      <w:pPr>
        <w:pStyle w:val="Heading2"/>
      </w:pPr>
      <w:r>
        <w:t>5.1 商品主数据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80"/>
        <w:gridCol w:w="2406"/>
        <w:gridCol w:w="4374"/>
      </w:tblGrid>
      <w:tr>
        <w:trPr>
          <w:cantSplit/>
          <w:tblHeader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聚合/用途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关键字段或约束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prd_spu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商品概念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name</w:t>
            </w:r>
            <w:r>
              <w:rPr>
                <w:rFonts w:ascii="Calibri" w:hAnsi="Calibri" w:eastAsia="等线"/>
                <w:color w:val="202124"/>
                <w:sz w:val="19"/>
              </w:rPr>
              <w:t>、</w:t>
            </w:r>
            <w:r>
              <w:rPr>
                <w:rFonts w:ascii="Consolas" w:hAnsi="Consolas" w:eastAsia="等线"/>
                <w:color w:val="1F4D78"/>
                <w:sz w:val="19"/>
              </w:rPr>
              <w:t>category_id</w:t>
            </w:r>
            <w:r>
              <w:rPr>
                <w:rFonts w:ascii="Calibri" w:hAnsi="Calibri" w:eastAsia="等线"/>
                <w:color w:val="202124"/>
                <w:sz w:val="19"/>
              </w:rPr>
              <w:t>、</w:t>
            </w:r>
            <w:r>
              <w:rPr>
                <w:rFonts w:ascii="Consolas" w:hAnsi="Consolas" w:eastAsia="等线"/>
                <w:color w:val="1F4D78"/>
                <w:sz w:val="19"/>
              </w:rPr>
              <w:t>brand_id</w:t>
            </w:r>
            <w:r>
              <w:rPr>
                <w:rFonts w:ascii="Calibri" w:hAnsi="Calibri" w:eastAsia="等线"/>
                <w:color w:val="202124"/>
                <w:sz w:val="19"/>
              </w:rPr>
              <w:t>、</w:t>
            </w:r>
            <w:r>
              <w:rPr>
                <w:rFonts w:ascii="Consolas" w:hAnsi="Consolas" w:eastAsia="等线"/>
                <w:color w:val="1F4D78"/>
                <w:sz w:val="19"/>
              </w:rPr>
              <w:t>product_type</w:t>
            </w:r>
            <w:r>
              <w:rPr>
                <w:rFonts w:ascii="Calibri" w:hAnsi="Calibri" w:eastAsia="等线"/>
                <w:color w:val="202124"/>
                <w:sz w:val="19"/>
              </w:rPr>
              <w:t>、状态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prd_sku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可销售/库存SKU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spu_id</w:t>
            </w:r>
            <w:r>
              <w:rPr>
                <w:rFonts w:ascii="Calibri" w:hAnsi="Calibri" w:eastAsia="等线"/>
                <w:color w:val="202124"/>
                <w:sz w:val="19"/>
              </w:rPr>
              <w:t>、</w:t>
            </w:r>
            <w:r>
              <w:rPr>
                <w:rFonts w:ascii="Consolas" w:hAnsi="Consolas" w:eastAsia="等线"/>
                <w:color w:val="1F4D78"/>
                <w:sz w:val="19"/>
              </w:rPr>
              <w:t>sku_code</w:t>
            </w:r>
            <w:r>
              <w:rPr>
                <w:rFonts w:ascii="Calibri" w:hAnsi="Calibri" w:eastAsia="等线"/>
                <w:color w:val="202124"/>
                <w:sz w:val="19"/>
              </w:rPr>
              <w:t>、</w:t>
            </w:r>
            <w:r>
              <w:rPr>
                <w:rFonts w:ascii="Consolas" w:hAnsi="Consolas" w:eastAsia="等线"/>
                <w:color w:val="1F4D78"/>
                <w:sz w:val="19"/>
              </w:rPr>
              <w:t>stock_unit_id</w:t>
            </w:r>
            <w:r>
              <w:rPr>
                <w:rFonts w:ascii="Calibri" w:hAnsi="Calibri" w:eastAsia="等线"/>
                <w:color w:val="202124"/>
                <w:sz w:val="19"/>
              </w:rPr>
              <w:t>、称重/批次/效期属性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prd_barcode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条码与秤码规则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(tenant_id, barcode, scope_type, scope_id)</w:t>
            </w:r>
            <w:r>
              <w:rPr>
                <w:rFonts w:ascii="Calibri" w:hAnsi="Calibri" w:eastAsia="等线"/>
                <w:color w:val="202124"/>
                <w:sz w:val="19"/>
              </w:rPr>
              <w:t>有效范围内唯一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prd_category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分类树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唯一编码、父节点、防循环、排序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prd_brand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商品品牌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与经营品牌</w:t>
            </w:r>
            <w:r>
              <w:rPr>
                <w:rFonts w:ascii="Consolas" w:hAnsi="Consolas" w:eastAsia="等线"/>
                <w:color w:val="1F4D78"/>
                <w:sz w:val="19"/>
              </w:rPr>
              <w:t>biz_brand</w:t>
            </w:r>
            <w:r>
              <w:rPr>
                <w:rFonts w:ascii="Calibri" w:hAnsi="Calibri" w:eastAsia="等线"/>
                <w:color w:val="202124"/>
                <w:sz w:val="19"/>
              </w:rPr>
              <w:t>分离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prd_unit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单位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精度、是否允许小数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prd_unit_conversion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单位换算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分子分母或高精度换算，禁止浮点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prd_store_scope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门店可售范围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SKU、门店、上架/停售、起止时间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prd_supplier_item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供应商商品关系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供应商货号、采购单位、箱规、起订量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prd_change_version</w:t>
            </w:r>
          </w:p>
        </w:tc>
        <w:tc>
          <w:tcPr>
            <w:tcW w:type="dxa" w:w="2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主数据发布版本</w:t>
            </w:r>
          </w:p>
        </w:tc>
        <w:tc>
          <w:tcPr>
            <w:tcW w:type="dxa" w:w="4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版本、摘要、发布时间、适用范围</w:t>
            </w:r>
          </w:p>
        </w:tc>
      </w:tr>
    </w:tbl>
    <w:p>
      <w:pPr>
        <w:spacing w:before="0" w:after="40"/>
      </w:pPr>
    </w:p>
    <w:p>
      <w:r>
        <w:t>商品名称、规格、单位、税率等在订单行中保存成交快照。历史订单不得依赖当前</w:t>
      </w:r>
      <w:r>
        <w:rPr>
          <w:rFonts w:ascii="Consolas" w:hAnsi="Consolas" w:eastAsia="等线"/>
          <w:color w:val="1F4D78"/>
          <w:sz w:val="20"/>
        </w:rPr>
        <w:t>prd_sku</w:t>
      </w:r>
      <w:r>
        <w:t>还原。</w:t>
      </w:r>
    </w:p>
    <w:p>
      <w:pPr>
        <w:pStyle w:val="Heading2"/>
      </w:pPr>
      <w:r>
        <w:t>5.2 价格模型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38"/>
        <w:gridCol w:w="2911"/>
        <w:gridCol w:w="4011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2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prc_price_book</w:t>
            </w:r>
          </w:p>
        </w:tc>
        <w:tc>
          <w:tcPr>
            <w:tcW w:type="dxa" w:w="2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总部、区域、门店、会员等价格簿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(tenant_id, price_book_code)</w:t>
            </w:r>
            <w:r>
              <w:rPr>
                <w:rFonts w:ascii="Calibri" w:hAnsi="Calibri" w:eastAsia="等线"/>
                <w:color w:val="202124"/>
                <w:sz w:val="19"/>
              </w:rPr>
              <w:t>唯一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prc_price_item</w:t>
            </w:r>
          </w:p>
        </w:tc>
        <w:tc>
          <w:tcPr>
            <w:tcW w:type="dxa" w:w="2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SKU价格项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时间段内同SKU/范围/优先级不得产生未定义重叠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prc_price_release</w:t>
            </w:r>
          </w:p>
        </w:tc>
        <w:tc>
          <w:tcPr>
            <w:tcW w:type="dxa" w:w="2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价格发布批次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状态、目标范围、版本摘要、发布时间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prc_store_price_index</w:t>
            </w:r>
          </w:p>
        </w:tc>
        <w:tc>
          <w:tcPr>
            <w:tcW w:type="dxa" w:w="2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门店生效价物化索引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可重建，不作为历史成交事实</w:t>
            </w:r>
          </w:p>
        </w:tc>
      </w:tr>
    </w:tbl>
    <w:p>
      <w:pPr>
        <w:spacing w:before="0" w:after="40"/>
      </w:pPr>
    </w:p>
    <w:p>
      <w:r>
        <w:t>价格项保存</w:t>
      </w:r>
      <w:r>
        <w:rPr>
          <w:rFonts w:ascii="Consolas" w:hAnsi="Consolas" w:eastAsia="等线"/>
          <w:color w:val="1F4D78"/>
          <w:sz w:val="20"/>
        </w:rPr>
        <w:t>unit_price DECIMAL(19,6)</w:t>
      </w:r>
      <w:r>
        <w:t>、币种、销售单位、适用范围、优先级、生效区间和来源。订单保存最终选用的价格项ID、版本与价格快照。</w:t>
      </w:r>
    </w:p>
    <w:p>
      <w:pPr>
        <w:pStyle w:val="Heading2"/>
      </w:pPr>
      <w:r>
        <w:t>5.3 促销模型概览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prm_campaign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活动生命周期、预算、范围和优先级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prm_rule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条件、门槛、收益、互斥和叠加规则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prm_rule_scope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商品、分类、品牌、门店、会员范围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prm_release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可下发的促销规则版本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prm_coupon_template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券模板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prm_coupon_account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会员券实例及状态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prm_calculation_snapshot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订单促销计算输入、命中和结果摘要</w:t>
            </w:r>
          </w:p>
        </w:tc>
      </w:tr>
    </w:tbl>
    <w:p>
      <w:pPr>
        <w:spacing w:before="0" w:after="40"/>
      </w:pPr>
    </w:p>
    <w:p>
      <w:r>
        <w:t>具体条件模型、计算顺序、优惠分摊和退货回退由文档34定义。本文只规定订单必须保存可解释、可重放的优惠结果。</w:t>
      </w:r>
    </w:p>
    <w:p>
      <w:pPr>
        <w:pStyle w:val="Heading1"/>
      </w:pPr>
      <w:r>
        <w:t>六、订单、班次、支付与退款数据模型</w:t>
      </w:r>
    </w:p>
    <w:p>
      <w:pPr>
        <w:pStyle w:val="Heading2"/>
      </w:pPr>
      <w:r>
        <w:t>6.1 销售订单聚合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68"/>
        <w:gridCol w:w="2701"/>
        <w:gridCol w:w="4191"/>
      </w:tblGrid>
      <w:tr>
        <w:trPr>
          <w:cantSplit/>
          <w:tblHeader w:val="true"/>
        </w:trPr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关键字段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ord_order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销售订单头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来源、类型、主状态、业务日期、金额合计、会员快照引用、终端与班次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ord_order_line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订单商品行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SKU与商品快照、数量、单价、原价、优惠、应收、税、退货累计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ord_adjustment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整单调整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促销、人工折扣、抹零、费用，保存来源和分摊方法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ord_line_adjustment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行级优惠分摊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关联整单/行级调整、规则ID、分摊金额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ord_state_history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订单状态历史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from/to、命令ID、actor、原因、时间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ord_external_ref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外部订单/平台引用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(tenant_id, source, external_order_id)</w:t>
            </w:r>
            <w:r>
              <w:rPr>
                <w:rFonts w:ascii="Calibri" w:hAnsi="Calibri" w:eastAsia="等线"/>
                <w:color w:val="202124"/>
                <w:sz w:val="19"/>
              </w:rPr>
              <w:t>唯一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ord_snapshot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成交规则和打印必要快照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JSON受Schema版本管理，不替代核心列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订单金额不变量</w:t>
      </w:r>
    </w:p>
    <w:p>
      <w:pPr>
        <w:spacing w:before="80" w:after="120" w:line="252" w:lineRule="auto"/>
        <w:ind w:left="115" w:right="115"/>
        <w:shd w:fill="F4F6F9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 w:eastAsia="等线"/>
          <w:color w:val="202124"/>
          <w:sz w:val="17"/>
        </w:rPr>
        <w:t>gross_amount_minor</w:t>
        <w:br/>
        <w:t>- discount_amount_minor</w:t>
        <w:br/>
        <w:t>+ surcharge_amount_minor</w:t>
        <w:br/>
        <w:t>= receivable_amount_minor</w:t>
        <w:br/>
        <w:br/>
        <w:t>received_amount_minor</w:t>
        <w:br/>
        <w:t>- refunded_amount_minor</w:t>
        <w:br/>
        <w:t>= net_received_amount_minor</w:t>
      </w:r>
    </w:p>
    <w:p>
      <w:r>
        <w:t>订单支付状态不只由单个支付单决定，而由有效支付净额与订单应收金额共同推导并持久化。推导算法由文档32定义。</w:t>
      </w:r>
    </w:p>
    <w:p>
      <w:pPr>
        <w:pStyle w:val="Heading2"/>
      </w:pPr>
      <w:r>
        <w:t>6.2 班次与现金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94"/>
        <w:gridCol w:w="6566"/>
      </w:tblGrid>
      <w:tr>
        <w:trPr>
          <w:cantSplit/>
          <w:tblHeader w:val="true"/>
        </w:trPr>
        <w:tc>
          <w:tcPr>
            <w:tcW w:type="dxa" w:w="2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6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shf_shift</w:t>
            </w:r>
          </w:p>
        </w:tc>
        <w:tc>
          <w:tcPr>
            <w:tcW w:type="dxa" w:w="6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开班、交班、状态、备用金、理论/实盘现金和长短款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shf_cash_ledger</w:t>
            </w:r>
          </w:p>
        </w:tc>
        <w:tc>
          <w:tcPr>
            <w:tcW w:type="dxa" w:w="6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现金销售、退款、备用金、存现、取现和调整流水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shf_tender_summary</w:t>
            </w:r>
          </w:p>
        </w:tc>
        <w:tc>
          <w:tcPr>
            <w:tcW w:type="dxa" w:w="6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按支付方式和币种汇总的交班快照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shf_count_detail</w:t>
            </w:r>
          </w:p>
        </w:tc>
        <w:tc>
          <w:tcPr>
            <w:tcW w:type="dxa" w:w="6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现金盘点面额与数量，可按租户配置</w:t>
            </w:r>
          </w:p>
        </w:tc>
      </w:tr>
    </w:tbl>
    <w:p>
      <w:pPr>
        <w:spacing w:before="0" w:after="40"/>
      </w:pPr>
    </w:p>
    <w:p>
      <w:r>
        <w:t>现金余额必须由现金流水核验。交班汇总是快照，不得替代明细事实。</w:t>
      </w:r>
    </w:p>
    <w:p>
      <w:pPr>
        <w:pStyle w:val="Heading2"/>
      </w:pPr>
      <w:r>
        <w:t>6.3 支付聚合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60"/>
        <w:gridCol w:w="2609"/>
        <w:gridCol w:w="4191"/>
      </w:tblGrid>
      <w:tr>
        <w:trPr>
          <w:cantSplit/>
          <w:tblHeader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pay_payment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对订单的一次支付意图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(tenant_id, idempotency_key)</w:t>
            </w:r>
            <w:r>
              <w:rPr>
                <w:rFonts w:ascii="Calibri" w:hAnsi="Calibri" w:eastAsia="等线"/>
                <w:color w:val="202124"/>
                <w:sz w:val="19"/>
              </w:rPr>
              <w:t>唯一；保存支付方式、金额和主状态</w:t>
            </w:r>
          </w:p>
        </w:tc>
      </w:tr>
      <w:tr>
        <w:trPr>
          <w:cantSplit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pay_attempt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向渠道发起的一次尝试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渠道请求号唯一；记录超时、响应和查询结果</w:t>
            </w:r>
          </w:p>
        </w:tc>
      </w:tr>
      <w:tr>
        <w:trPr>
          <w:cantSplit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pay_state_history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支付状态历史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状态迁移与触发来源不可变</w:t>
            </w:r>
          </w:p>
        </w:tc>
      </w:tr>
      <w:tr>
        <w:trPr>
          <w:cantSplit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pay_channel_event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渠道回调/查询事实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(tenant_id, channel_code, channel_event_id)</w:t>
            </w:r>
            <w:r>
              <w:rPr>
                <w:rFonts w:ascii="Calibri" w:hAnsi="Calibri" w:eastAsia="等线"/>
                <w:color w:val="202124"/>
                <w:sz w:val="19"/>
              </w:rPr>
              <w:t>唯一</w:t>
            </w:r>
          </w:p>
        </w:tc>
      </w:tr>
      <w:tr>
        <w:trPr>
          <w:cantSplit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pay_tender_allocation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组合支付组成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现金、扫码、卡、权益等分项</w:t>
            </w:r>
          </w:p>
        </w:tc>
      </w:tr>
    </w:tbl>
    <w:p>
      <w:pPr>
        <w:spacing w:before="0" w:after="40"/>
      </w:pPr>
    </w:p>
    <w:p>
      <w:r>
        <w:t>支付成功事实必须包含渠道交易号或经批准的现金支付事实。渠道原始敏感报文不得直接散落在业务表，可加密存入受控原始报文存储并保存引用。</w:t>
      </w:r>
    </w:p>
    <w:p>
      <w:pPr>
        <w:pStyle w:val="Heading2"/>
      </w:pPr>
      <w:r>
        <w:t>6.4 退款聚合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99"/>
        <w:gridCol w:w="2470"/>
        <w:gridCol w:w="4191"/>
      </w:tblGrid>
      <w:tr>
        <w:trPr>
          <w:cantSplit/>
          <w:tblHeader w:val="true"/>
        </w:trPr>
        <w:tc>
          <w:tcPr>
            <w:tcW w:type="dxa" w:w="2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2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pay_refund</w:t>
            </w:r>
          </w:p>
        </w:tc>
        <w:tc>
          <w:tcPr>
            <w:tcW w:type="dxa" w:w="2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一次退款意图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关联原订单和可选原支付；幂等键唯一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pay_refund_line</w:t>
            </w:r>
          </w:p>
        </w:tc>
        <w:tc>
          <w:tcPr>
            <w:tcW w:type="dxa" w:w="2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退款商品/费用分解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保存数量、商品金额、优惠回退、税和应退金额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pay_refund_attempt</w:t>
            </w:r>
          </w:p>
        </w:tc>
        <w:tc>
          <w:tcPr>
            <w:tcW w:type="dxa" w:w="2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渠道退款尝试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渠道退款请求号唯一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pay_refund_state_history</w:t>
            </w:r>
          </w:p>
        </w:tc>
        <w:tc>
          <w:tcPr>
            <w:tcW w:type="dxa" w:w="2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退款状态历史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不覆盖历史结果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pay_refund_allocation</w:t>
            </w:r>
          </w:p>
        </w:tc>
        <w:tc>
          <w:tcPr>
            <w:tcW w:type="dxa" w:w="2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退款到各支付方式</w:t>
            </w:r>
          </w:p>
        </w:tc>
        <w:tc>
          <w:tcPr>
            <w:tcW w:type="dxa" w:w="4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受原支付净额和渠道限制</w:t>
            </w:r>
          </w:p>
        </w:tc>
      </w:tr>
    </w:tbl>
    <w:p>
      <w:pPr>
        <w:spacing w:before="0" w:after="40"/>
      </w:pPr>
    </w:p>
    <w:p>
      <w:r>
        <w:t>退款成功后通过事件驱动订单累计退货、库存退回和会员权益回退；不得在支付事务中跨表完成全部动作。</w:t>
      </w:r>
    </w:p>
    <w:p>
      <w:pPr>
        <w:pStyle w:val="Heading2"/>
      </w:pPr>
      <w:r>
        <w:t>6.5 对账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pay_reconcile_batch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渠道账单批次、账期、文件摘要、处理状态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pay_reconcile_entry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标准化账单行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pay_reconcile_match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系统支付/退款与渠道账单匹配结果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pay_reconcile_exception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单边账、金额差异、重复和人工处理记录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七、库存、成本、采购与调拨数据模型</w:t>
      </w:r>
    </w:p>
    <w:p>
      <w:pPr>
        <w:pStyle w:val="Heading2"/>
      </w:pPr>
      <w:r>
        <w:t>7.1 库存账本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64"/>
        <w:gridCol w:w="2783"/>
        <w:gridCol w:w="4113"/>
      </w:tblGrid>
      <w:tr>
        <w:trPr>
          <w:cantSplit/>
          <w:tblHeader w:val="true"/>
        </w:trPr>
        <w:tc>
          <w:tcPr>
            <w:tcW w:type="dxa" w:w="2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  <w:tc>
          <w:tcPr>
            <w:tcW w:type="dxa" w:w="4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inv_stock_balance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SKU+仓库+批次维度当前余额</w:t>
            </w:r>
          </w:p>
        </w:tc>
        <w:tc>
          <w:tcPr>
            <w:tcW w:type="dxa" w:w="4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(tenant_id, warehouse_id, sku_id, stock_dimension_key)</w:t>
            </w:r>
            <w:r>
              <w:rPr>
                <w:rFonts w:ascii="Calibri" w:hAnsi="Calibri" w:eastAsia="等线"/>
                <w:color w:val="202124"/>
                <w:sz w:val="19"/>
              </w:rPr>
              <w:t>唯一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inv_stock_ledger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每次库存变化的不可变流水</w:t>
            </w:r>
          </w:p>
        </w:tc>
        <w:tc>
          <w:tcPr>
            <w:tcW w:type="dxa" w:w="4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(tenant_id, idempotency_key)</w:t>
            </w:r>
            <w:r>
              <w:rPr>
                <w:rFonts w:ascii="Calibri" w:hAnsi="Calibri" w:eastAsia="等线"/>
                <w:color w:val="202124"/>
                <w:sz w:val="19"/>
              </w:rPr>
              <w:t>唯一，保存变化前后数量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inv_cost_ledger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成本变化与计算依据</w:t>
            </w:r>
          </w:p>
        </w:tc>
        <w:tc>
          <w:tcPr>
            <w:tcW w:type="dxa" w:w="4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关联库存流水，保存前后均价和金额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inv_reservation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预占聚合头</w:t>
            </w:r>
          </w:p>
        </w:tc>
        <w:tc>
          <w:tcPr>
            <w:tcW w:type="dxa" w:w="4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来源、状态、过期、归属门店/仓库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inv_reservation_line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SKU预占数量</w:t>
            </w:r>
          </w:p>
        </w:tc>
        <w:tc>
          <w:tcPr>
            <w:tcW w:type="dxa" w:w="4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预占、释放、消费累计守恒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inv_batch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批次/生产日期/效期</w:t>
            </w:r>
          </w:p>
        </w:tc>
        <w:tc>
          <w:tcPr>
            <w:tcW w:type="dxa" w:w="4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批次维度启用时使用</w:t>
            </w:r>
          </w:p>
        </w:tc>
      </w:tr>
    </w:tbl>
    <w:p>
      <w:pPr>
        <w:spacing w:before="0" w:after="40"/>
      </w:pPr>
    </w:p>
    <w:p>
      <w:r>
        <w:t>余额表是并发控制和查询优化结果，账本是变化事实。任何余额更新必须与库存流水在同一数据库事务完成。</w:t>
      </w:r>
    </w:p>
    <w:p>
      <w:pPr>
        <w:pStyle w:val="Heading2"/>
      </w:pPr>
      <w:r>
        <w:t>7.2 盘点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inv_stocktake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盘点任务、范围、冻结策略、状态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inv_stocktake_line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账面量、初盘、复盘、确认量和差异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inv_stocktake_count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每次计数事实、人员、设备和时间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inv_stocktake_adjustment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审批后的盘盈盘亏调整引用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7.3 采购与收货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sup_supplier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供应商档案、资质和结算属性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pur_purchase_order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采购订单头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pur_purchase_order_line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商品、数量、采购价、税和交货计划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pur_receipt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收货单头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pur_receipt_line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实收、拒收、多收、少收、批次和成本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pur_return</w:t>
            </w:r>
            <w:r>
              <w:rPr>
                <w:rFonts w:ascii="Calibri" w:hAnsi="Calibri" w:eastAsia="等线"/>
                <w:color w:val="202124"/>
                <w:sz w:val="19"/>
              </w:rPr>
              <w:t xml:space="preserve"> / </w:t>
            </w:r>
            <w:r>
              <w:rPr>
                <w:rFonts w:ascii="Consolas" w:hAnsi="Consolas" w:eastAsia="等线"/>
                <w:color w:val="1F4D78"/>
                <w:sz w:val="19"/>
              </w:rPr>
              <w:t>pur_return_line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采购退货</w:t>
            </w:r>
          </w:p>
        </w:tc>
      </w:tr>
    </w:tbl>
    <w:p>
      <w:pPr>
        <w:spacing w:before="0" w:after="40"/>
      </w:pPr>
    </w:p>
    <w:p>
      <w:r>
        <w:t>采购单不直接改变库存；收货确认产生库存入账命令和成本事实。</w:t>
      </w:r>
    </w:p>
    <w:p>
      <w:pPr>
        <w:pStyle w:val="Heading2"/>
      </w:pPr>
      <w:r>
        <w:t>7.4 调拨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inv_transfer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调拨申请、审批、出库、在途、收货状态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inv_transfer_line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申请、发出、实收和差异数量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inv_transfer_shipment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分批发运和物流信息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inv_transfer_receipt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分批收货和差异确认</w:t>
            </w:r>
          </w:p>
        </w:tc>
      </w:tr>
    </w:tbl>
    <w:p>
      <w:pPr>
        <w:spacing w:before="0" w:after="40"/>
      </w:pPr>
    </w:p>
    <w:p>
      <w:r>
        <w:t>发出仓扣减、在途增加、目标仓入库分别记录流水。调拨差异不能通过覆盖发出数量解决。</w:t>
      </w:r>
    </w:p>
    <w:p>
      <w:pPr>
        <w:pStyle w:val="Heading1"/>
      </w:pPr>
      <w:r>
        <w:t>八、会员、积分、优惠券与结算模型</w:t>
      </w:r>
    </w:p>
    <w:p>
      <w:pPr>
        <w:pStyle w:val="Heading2"/>
      </w:pPr>
      <w:r>
        <w:t>8.1 会员身份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120"/>
        <w:gridCol w:w="624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mbr_member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统一会员主体、状态、注册来源和隐私等级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mbr_identity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手机、实体卡、平台用户ID等身份映射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mbr_profile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可变会员资料和授权状态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mbr_level_history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等级变更历史</w:t>
            </w:r>
          </w:p>
        </w:tc>
      </w:tr>
    </w:tbl>
    <w:p>
      <w:pPr>
        <w:spacing w:before="0" w:after="40"/>
      </w:pPr>
    </w:p>
    <w:p>
      <w:r>
        <w:t>会员手机号不是主键。一个会员可以有多个外部身份；身份合并必须可审计、可撤销并防止账本错归。</w:t>
      </w:r>
    </w:p>
    <w:p>
      <w:pPr>
        <w:pStyle w:val="Heading2"/>
      </w:pPr>
      <w:r>
        <w:t>8.2 权益账本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81"/>
        <w:gridCol w:w="2971"/>
        <w:gridCol w:w="3908"/>
      </w:tblGrid>
      <w:tr>
        <w:trPr>
          <w:cantSplit/>
          <w:tblHeader w:val="true"/>
        </w:trPr>
        <w:tc>
          <w:tcPr>
            <w:tcW w:type="dxa" w:w="2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  <w:tc>
          <w:tcPr>
            <w:tcW w:type="dxa" w:w="3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不变量</w:t>
            </w:r>
          </w:p>
        </w:tc>
      </w:tr>
      <w:tr>
        <w:trPr>
          <w:cantSplit/>
        </w:trPr>
        <w:tc>
          <w:tcPr>
            <w:tcW w:type="dxa" w:w="2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mbr_points_account</w:t>
            </w:r>
          </w:p>
        </w:tc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积分账户余额</w:t>
            </w:r>
          </w:p>
        </w:tc>
        <w:tc>
          <w:tcPr>
            <w:tcW w:type="dxa" w:w="3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余额可由有效流水核验</w:t>
            </w:r>
          </w:p>
        </w:tc>
      </w:tr>
      <w:tr>
        <w:trPr>
          <w:cantSplit/>
        </w:trPr>
        <w:tc>
          <w:tcPr>
            <w:tcW w:type="dxa" w:w="2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mbr_points_ledger</w:t>
            </w:r>
          </w:p>
        </w:tc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获取、消费、冻结、解冻、过期、调整</w:t>
            </w:r>
          </w:p>
        </w:tc>
        <w:tc>
          <w:tcPr>
            <w:tcW w:type="dxa" w:w="3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幂等键唯一，不物理删除</w:t>
            </w:r>
          </w:p>
        </w:tc>
      </w:tr>
      <w:tr>
        <w:trPr>
          <w:cantSplit/>
        </w:trPr>
        <w:tc>
          <w:tcPr>
            <w:tcW w:type="dxa" w:w="2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mbr_coupon_account</w:t>
            </w:r>
          </w:p>
        </w:tc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券实例</w:t>
            </w:r>
          </w:p>
        </w:tc>
        <w:tc>
          <w:tcPr>
            <w:tcW w:type="dxa" w:w="3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发放、冻结、核销、退回、过期状态机</w:t>
            </w:r>
          </w:p>
        </w:tc>
      </w:tr>
      <w:tr>
        <w:trPr>
          <w:cantSplit/>
        </w:trPr>
        <w:tc>
          <w:tcPr>
            <w:tcW w:type="dxa" w:w="2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mbr_stored_value_account</w:t>
            </w:r>
          </w:p>
        </w:tc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储值账户</w:t>
            </w:r>
          </w:p>
        </w:tc>
        <w:tc>
          <w:tcPr>
            <w:tcW w:type="dxa" w:w="3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商业V1默认不启用，合规批准后上线</w:t>
            </w:r>
          </w:p>
        </w:tc>
      </w:tr>
      <w:tr>
        <w:trPr>
          <w:cantSplit/>
        </w:trPr>
        <w:tc>
          <w:tcPr>
            <w:tcW w:type="dxa" w:w="2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mbr_stored_value_ledger</w:t>
            </w:r>
          </w:p>
        </w:tc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充值、赠送、消费、退款、冲正</w:t>
            </w:r>
          </w:p>
        </w:tc>
        <w:tc>
          <w:tcPr>
            <w:tcW w:type="dxa" w:w="3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本金和赠送金分账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8.3 往来与结算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set_counterparty_account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供应商、加盟商、渠道等往来账户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set_business_entry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应收应付业务明细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set_statement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对账/结算单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set_statement_line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纳入账期的明细及调整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set_adjustment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费用、返利、差异和审批调整</w:t>
            </w:r>
          </w:p>
        </w:tc>
      </w:tr>
    </w:tbl>
    <w:p>
      <w:pPr>
        <w:spacing w:before="0" w:after="40"/>
      </w:pPr>
    </w:p>
    <w:p>
      <w:r>
        <w:t>结算领域引用采购、调拨、销售和渠道事实，不反向修改原业务单据。</w:t>
      </w:r>
    </w:p>
    <w:p>
      <w:pPr>
        <w:pStyle w:val="Heading1"/>
      </w:pPr>
      <w:r>
        <w:t>九、设备、同步与连接器数据模型</w:t>
      </w:r>
    </w:p>
    <w:p>
      <w:pPr>
        <w:pStyle w:val="Heading2"/>
      </w:pPr>
      <w:r>
        <w:t>9.1 终端与版本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296"/>
        <w:gridCol w:w="6064"/>
      </w:tblGrid>
      <w:tr>
        <w:trPr>
          <w:cantSplit/>
          <w:tblHeader w:val="true"/>
        </w:trPr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6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dev_terminal</w:t>
            </w:r>
          </w:p>
        </w:tc>
        <w:tc>
          <w:tcPr>
            <w:tcW w:type="dxa" w:w="6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设备实例、租户、门店、类型、状态和最后在线时间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dev_terminal_credential</w:t>
            </w:r>
          </w:p>
        </w:tc>
        <w:tc>
          <w:tcPr>
            <w:tcW w:type="dxa" w:w="6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设备公钥/证书引用、状态和轮换，不存明文私钥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dev_capability_snapshot</w:t>
            </w:r>
          </w:p>
        </w:tc>
        <w:tc>
          <w:tcPr>
            <w:tcW w:type="dxa" w:w="6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打印、扫码、称重、系统版本和厂商能力快照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dev_app_release</w:t>
            </w:r>
          </w:p>
        </w:tc>
        <w:tc>
          <w:tcPr>
            <w:tcW w:type="dxa" w:w="6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应用版本、渠道、摘要、签名、最低协议和灰度策略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dev_update_job</w:t>
            </w:r>
          </w:p>
        </w:tc>
        <w:tc>
          <w:tcPr>
            <w:tcW w:type="dxa" w:w="6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终端升级命令、结果和回滚状态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dev_diagnostic_package</w:t>
            </w:r>
          </w:p>
        </w:tc>
        <w:tc>
          <w:tcPr>
            <w:tcW w:type="dxa" w:w="6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诊断包对象引用、摘要、授权和到期时间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9.2 同步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25"/>
        <w:gridCol w:w="3008"/>
        <w:gridCol w:w="4027"/>
      </w:tblGrid>
      <w:tr>
        <w:trPr>
          <w:cantSplit/>
          <w:tblHeader w:val="true"/>
        </w:trPr>
        <w:tc>
          <w:tcPr>
            <w:tcW w:type="dxa" w:w="2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2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sync_inbox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服务端接收终端事件去重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(tenant_id, device_id, client_event_id)</w:t>
            </w:r>
            <w:r>
              <w:rPr>
                <w:rFonts w:ascii="Calibri" w:hAnsi="Calibri" w:eastAsia="等线"/>
                <w:color w:val="202124"/>
                <w:sz w:val="19"/>
              </w:rPr>
              <w:t>唯一</w:t>
            </w:r>
          </w:p>
        </w:tc>
      </w:tr>
      <w:tr>
        <w:trPr>
          <w:cantSplit/>
        </w:trPr>
        <w:tc>
          <w:tcPr>
            <w:tcW w:type="dxa" w:w="2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sync_outbox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服务端待发布领域/终端事件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event_id</w:t>
            </w:r>
            <w:r>
              <w:rPr>
                <w:rFonts w:ascii="Calibri" w:hAnsi="Calibri" w:eastAsia="等线"/>
                <w:color w:val="202124"/>
                <w:sz w:val="19"/>
              </w:rPr>
              <w:t>唯一，支持认领、重试和死信</w:t>
            </w:r>
          </w:p>
        </w:tc>
      </w:tr>
      <w:tr>
        <w:trPr>
          <w:cantSplit/>
        </w:trPr>
        <w:tc>
          <w:tcPr>
            <w:tcW w:type="dxa" w:w="2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sync_device_cursor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每设备每数据流游标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(tenant_id, device_id, stream_code)</w:t>
            </w:r>
            <w:r>
              <w:rPr>
                <w:rFonts w:ascii="Calibri" w:hAnsi="Calibri" w:eastAsia="等线"/>
                <w:color w:val="202124"/>
                <w:sz w:val="19"/>
              </w:rPr>
              <w:t>唯一</w:t>
            </w:r>
          </w:p>
        </w:tc>
      </w:tr>
      <w:tr>
        <w:trPr>
          <w:cantSplit/>
        </w:trPr>
        <w:tc>
          <w:tcPr>
            <w:tcW w:type="dxa" w:w="2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sync_data_package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商品/价格/促销/配置数据包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版本、摘要、对象存储引用、适用范围</w:t>
            </w:r>
          </w:p>
        </w:tc>
      </w:tr>
      <w:tr>
        <w:trPr>
          <w:cantSplit/>
        </w:trPr>
        <w:tc>
          <w:tcPr>
            <w:tcW w:type="dxa" w:w="2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sync_command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远程配置、刷新、停用、诊断等命令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命令版本、到期、确认和结果</w:t>
            </w:r>
          </w:p>
        </w:tc>
      </w:tr>
      <w:tr>
        <w:trPr>
          <w:cantSplit/>
        </w:trPr>
        <w:tc>
          <w:tcPr>
            <w:tcW w:type="dxa" w:w="2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sync_conflict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不能自动决策的冲突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对象、双方版本、策略、处理人和结果</w:t>
            </w:r>
          </w:p>
        </w:tc>
      </w:tr>
    </w:tbl>
    <w:p>
      <w:pPr>
        <w:spacing w:before="0" w:after="40"/>
      </w:pPr>
    </w:p>
    <w:p>
      <w:r>
        <w:t>POS本地库使用对应的</w:t>
      </w:r>
      <w:r>
        <w:rPr>
          <w:rFonts w:ascii="Consolas" w:hAnsi="Consolas" w:eastAsia="等线"/>
          <w:color w:val="1F4D78"/>
          <w:sz w:val="20"/>
        </w:rPr>
        <w:t>local_outbox</w:t>
      </w:r>
      <w:r>
        <w:t>、</w:t>
      </w:r>
      <w:r>
        <w:rPr>
          <w:rFonts w:ascii="Consolas" w:hAnsi="Consolas" w:eastAsia="等线"/>
          <w:color w:val="1F4D78"/>
          <w:sz w:val="20"/>
        </w:rPr>
        <w:t>local_inbox</w:t>
      </w:r>
      <w:r>
        <w:t>、</w:t>
      </w:r>
      <w:r>
        <w:rPr>
          <w:rFonts w:ascii="Consolas" w:hAnsi="Consolas" w:eastAsia="等线"/>
          <w:color w:val="1F4D78"/>
          <w:sz w:val="20"/>
        </w:rPr>
        <w:t>local_cursor</w:t>
      </w:r>
      <w:r>
        <w:t>、</w:t>
      </w:r>
      <w:r>
        <w:rPr>
          <w:rFonts w:ascii="Consolas" w:hAnsi="Consolas" w:eastAsia="等线"/>
          <w:color w:val="1F4D78"/>
          <w:sz w:val="20"/>
        </w:rPr>
        <w:t>local_order</w:t>
      </w:r>
      <w:r>
        <w:t>、</w:t>
      </w:r>
      <w:r>
        <w:rPr>
          <w:rFonts w:ascii="Consolas" w:hAnsi="Consolas" w:eastAsia="等线"/>
          <w:color w:val="1F4D78"/>
          <w:sz w:val="20"/>
        </w:rPr>
        <w:t>local_payment_ref</w:t>
      </w:r>
      <w:r>
        <w:t>和</w:t>
      </w:r>
      <w:r>
        <w:rPr>
          <w:rFonts w:ascii="Consolas" w:hAnsi="Consolas" w:eastAsia="等线"/>
          <w:color w:val="1F4D78"/>
          <w:sz w:val="20"/>
        </w:rPr>
        <w:t>local_print_job</w:t>
      </w:r>
      <w:r>
        <w:t>，字段与协议由文档35定义。</w:t>
      </w:r>
    </w:p>
    <w:p>
      <w:pPr>
        <w:pStyle w:val="Heading2"/>
      </w:pPr>
      <w:r>
        <w:t>9.3 连接器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222"/>
        <w:gridCol w:w="6138"/>
      </w:tblGrid>
      <w:tr>
        <w:trPr>
          <w:cantSplit/>
          <w:tblHeader w:val="true"/>
        </w:trPr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表名</w:t>
            </w:r>
          </w:p>
        </w:tc>
        <w:tc>
          <w:tcPr>
            <w:tcW w:type="dxa" w:w="6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con_definition</w:t>
            </w:r>
          </w:p>
        </w:tc>
        <w:tc>
          <w:tcPr>
            <w:tcW w:type="dxa" w:w="6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连接器类型、版本、Manifest和能力声明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con_instance</w:t>
            </w:r>
          </w:p>
        </w:tc>
        <w:tc>
          <w:tcPr>
            <w:tcW w:type="dxa" w:w="6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租户连接器实例、状态和环境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con_credential</w:t>
            </w:r>
          </w:p>
        </w:tc>
        <w:tc>
          <w:tcPr>
            <w:tcW w:type="dxa" w:w="6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加密凭证引用、版本和轮换信息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con_mapping</w:t>
            </w:r>
          </w:p>
        </w:tc>
        <w:tc>
          <w:tcPr>
            <w:tcW w:type="dxa" w:w="6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商品、门店、会员、支付方式等内外部ID映射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con_inbound_message</w:t>
            </w:r>
          </w:p>
        </w:tc>
        <w:tc>
          <w:tcPr>
            <w:tcW w:type="dxa" w:w="6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入站原始报文摘要、验签、去重和处理状态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con_outbound_job</w:t>
            </w:r>
          </w:p>
        </w:tc>
        <w:tc>
          <w:tcPr>
            <w:tcW w:type="dxa" w:w="6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出站任务、重试、限流和结果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con_dead_letter</w:t>
            </w:r>
          </w:p>
        </w:tc>
        <w:tc>
          <w:tcPr>
            <w:tcW w:type="dxa" w:w="6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超限失败与人工处理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con_checkpoint</w:t>
            </w:r>
          </w:p>
        </w:tc>
        <w:tc>
          <w:tcPr>
            <w:tcW w:type="dxa" w:w="6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增量拉取游标和租约</w:t>
            </w:r>
          </w:p>
        </w:tc>
      </w:tr>
    </w:tbl>
    <w:p>
      <w:pPr>
        <w:spacing w:before="0" w:after="40"/>
      </w:pPr>
    </w:p>
    <w:p>
      <w:r>
        <w:t>凭证明文不进入普通业务表；敏感原始报文加密并按最短必要期限保留。</w:t>
      </w:r>
    </w:p>
    <w:p>
      <w:pPr>
        <w:pStyle w:val="Heading1"/>
      </w:pPr>
      <w:r>
        <w:t>十、核心表DDL基线</w:t>
      </w:r>
    </w:p>
    <w:p>
      <w:r>
        <w:t>以下DDL用于固定类型、约束和索引模式。完整建库脚本由Flyway按模块拆分，字段随详细状态机规格补充，但不得违背本基线。</w:t>
      </w:r>
    </w:p>
    <w:p>
      <w:pPr>
        <w:pStyle w:val="Heading2"/>
      </w:pPr>
      <w:r>
        <w:t>10.1 订单头示例</w:t>
      </w:r>
    </w:p>
    <w:p>
      <w:pPr>
        <w:spacing w:before="80" w:after="120" w:line="252" w:lineRule="auto"/>
        <w:ind w:left="115" w:right="115"/>
        <w:shd w:fill="F4F6F9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 w:eastAsia="等线"/>
          <w:color w:val="202124"/>
          <w:sz w:val="17"/>
        </w:rPr>
        <w:t>CREATE TABLE ord_order (</w:t>
        <w:br/>
        <w:t xml:space="preserve">  id                    CHAR(26) CHARACTER SET ascii COLLATE ascii_bin NOT NULL,</w:t>
        <w:br/>
        <w:t xml:space="preserve">  tenant_id             VARCHAR(20) CHARACTER SET ascii COLLATE ascii_bin NOT NULL,</w:t>
        <w:br/>
        <w:t xml:space="preserve">  order_no              VARCHAR(40) NOT NULL,</w:t>
        <w:br/>
        <w:t xml:space="preserve">  order_type            VARCHAR(32) NOT NULL,</w:t>
        <w:br/>
        <w:t xml:space="preserve">  source_type           VARCHAR(32) NOT NULL,</w:t>
        <w:br/>
        <w:t xml:space="preserve">  status                VARCHAR(32) NOT NULL,</w:t>
        <w:br/>
        <w:t xml:space="preserve">  payment_status        VARCHAR(32) NOT NULL,</w:t>
        <w:br/>
        <w:t xml:space="preserve">  refund_status         VARCHAR(32) NOT NULL,</w:t>
        <w:br/>
        <w:t xml:space="preserve">  store_id              CHAR(26) CHARACTER SET ascii COLLATE ascii_bin NOT NULL,</w:t>
        <w:br/>
        <w:t xml:space="preserve">  terminal_id           CHAR(26) CHARACTER SET ascii COLLATE ascii_bin NOT NULL,</w:t>
        <w:br/>
        <w:t xml:space="preserve">  shift_id              CHAR(26) CHARACTER SET ascii COLLATE ascii_bin NOT NULL,</w:t>
        <w:br/>
        <w:t xml:space="preserve">  member_id             CHAR(26) CHARACTER SET ascii COLLATE ascii_bin NULL,</w:t>
        <w:br/>
        <w:t xml:space="preserve">  business_date         DATE NOT NULL,</w:t>
        <w:br/>
        <w:t xml:space="preserve">  currency              CHAR(3) CHARACTER SET ascii COLLATE ascii_bin NOT NULL,</w:t>
        <w:br/>
        <w:t xml:space="preserve">  gross_amount_minor    BIGINT NOT NULL,</w:t>
        <w:br/>
        <w:t xml:space="preserve">  discount_amount_minor BIGINT NOT NULL,</w:t>
        <w:br/>
        <w:t xml:space="preserve">  surcharge_amount_minor BIGINT NOT NULL,</w:t>
        <w:br/>
        <w:t xml:space="preserve">  receivable_amount_minor BIGINT NOT NULL,</w:t>
        <w:br/>
        <w:t xml:space="preserve">  received_amount_minor BIGINT NOT NULL,</w:t>
        <w:br/>
        <w:t xml:space="preserve">  refunded_amount_minor BIGINT NOT NULL,</w:t>
        <w:br/>
        <w:t xml:space="preserve">  occurred_at           DATETIME(3) NOT NULL,</w:t>
        <w:br/>
        <w:t xml:space="preserve">  completed_at          DATETIME(3) NULL,</w:t>
        <w:br/>
        <w:t xml:space="preserve">  record_version        BIGINT NOT NULL DEFAULT 1,</w:t>
        <w:br/>
        <w:t xml:space="preserve">  created_at            DATETIME(3) NOT NULL DEFAULT CURRENT_TIMESTAMP(3),</w:t>
        <w:br/>
        <w:t xml:space="preserve">  created_by            BIGINT NULL,</w:t>
        <w:br/>
        <w:t xml:space="preserve">  updated_at            DATETIME(3) NOT NULL DEFAULT CURRENT_TIMESTAMP(3),</w:t>
        <w:br/>
        <w:t xml:space="preserve">  updated_by            BIGINT NULL,</w:t>
        <w:br/>
        <w:t xml:space="preserve">  PRIMARY KEY (id),</w:t>
        <w:br/>
        <w:t xml:space="preserve">  UNIQUE KEY uk_ord_order_no (tenant_id, order_no),</w:t>
        <w:br/>
        <w:t xml:space="preserve">  KEY idx_ord_store_date (tenant_id, store_id, business_date, status),</w:t>
        <w:br/>
        <w:t xml:space="preserve">  KEY idx_ord_member_time (tenant_id, member_id, occurred_at),</w:t>
        <w:br/>
        <w:t xml:space="preserve">  KEY idx_ord_terminal_shift (tenant_id, terminal_id, shift_id)</w:t>
        <w:br/>
        <w:t>) ENGINE=InnoDB;</w:t>
      </w:r>
    </w:p>
    <w:p>
      <w:r>
        <w:t>订单行必须对</w:t>
      </w:r>
      <w:r>
        <w:rPr>
          <w:rFonts w:ascii="Consolas" w:hAnsi="Consolas" w:eastAsia="等线"/>
          <w:color w:val="1F4D78"/>
          <w:sz w:val="20"/>
        </w:rPr>
        <w:t>(tenant_id, order_id, line_no)</w:t>
      </w:r>
      <w:r>
        <w:t>建立唯一键，并保存商品名称、条码、规格、单位、税率和价格规则快照。</w:t>
      </w:r>
    </w:p>
    <w:p>
      <w:pPr>
        <w:pStyle w:val="Heading2"/>
      </w:pPr>
      <w:r>
        <w:t>10.2 支付示例</w:t>
      </w:r>
    </w:p>
    <w:p>
      <w:pPr>
        <w:spacing w:before="80" w:after="120" w:line="252" w:lineRule="auto"/>
        <w:ind w:left="115" w:right="115"/>
        <w:shd w:fill="F4F6F9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 w:eastAsia="等线"/>
          <w:color w:val="202124"/>
          <w:sz w:val="17"/>
        </w:rPr>
        <w:t>CREATE TABLE pay_payment (</w:t>
        <w:br/>
        <w:t xml:space="preserve">  id                    CHAR(26) CHARACTER SET ascii COLLATE ascii_bin NOT NULL,</w:t>
        <w:br/>
        <w:t xml:space="preserve">  tenant_id             VARCHAR(20) CHARACTER SET ascii COLLATE ascii_bin NOT NULL,</w:t>
        <w:br/>
        <w:t xml:space="preserve">  payment_no            VARCHAR(40) NOT NULL,</w:t>
        <w:br/>
        <w:t xml:space="preserve">  order_id              CHAR(26) CHARACTER SET ascii COLLATE ascii_bin NOT NULL,</w:t>
        <w:br/>
        <w:t xml:space="preserve">  idempotency_key       VARCHAR(128) CHARACTER SET ascii COLLATE ascii_bin NOT NULL,</w:t>
        <w:br/>
        <w:t xml:space="preserve">  payment_method        VARCHAR(32) NOT NULL,</w:t>
        <w:br/>
        <w:t xml:space="preserve">  channel_code          VARCHAR(32) NULL,</w:t>
        <w:br/>
        <w:t xml:space="preserve">  status                VARCHAR(32) NOT NULL,</w:t>
        <w:br/>
        <w:t xml:space="preserve">  currency              CHAR(3) CHARACTER SET ascii COLLATE ascii_bin NOT NULL,</w:t>
        <w:br/>
        <w:t xml:space="preserve">  requested_amount_minor BIGINT NOT NULL,</w:t>
        <w:br/>
        <w:t xml:space="preserve">  succeeded_amount_minor BIGINT NOT NULL DEFAULT 0,</w:t>
        <w:br/>
        <w:t xml:space="preserve">  refunded_amount_minor BIGINT NOT NULL DEFAULT 0,</w:t>
        <w:br/>
        <w:t xml:space="preserve">  unknown_since         DATETIME(3) NULL,</w:t>
        <w:br/>
        <w:t xml:space="preserve">  record_version        BIGINT NOT NULL DEFAULT 1,</w:t>
        <w:br/>
        <w:t xml:space="preserve">  created_at            DATETIME(3) NOT NULL DEFAULT CURRENT_TIMESTAMP(3),</w:t>
        <w:br/>
        <w:t xml:space="preserve">  updated_at            DATETIME(3) NOT NULL DEFAULT CURRENT_TIMESTAMP(3),</w:t>
        <w:br/>
        <w:t xml:space="preserve">  PRIMARY KEY (id),</w:t>
        <w:br/>
        <w:t xml:space="preserve">  UNIQUE KEY uk_pay_no (tenant_id, payment_no),</w:t>
        <w:br/>
        <w:t xml:space="preserve">  UNIQUE KEY uk_pay_idem (tenant_id, idempotency_key),</w:t>
        <w:br/>
        <w:t xml:space="preserve">  KEY idx_pay_order (tenant_id, order_id, status),</w:t>
        <w:br/>
        <w:t xml:space="preserve">  KEY idx_pay_unknown (tenant_id, status, unknown_since)</w:t>
        <w:br/>
        <w:t>) ENGINE=InnoDB;</w:t>
      </w:r>
    </w:p>
    <w:p>
      <w:pPr>
        <w:pStyle w:val="Heading2"/>
      </w:pPr>
      <w:r>
        <w:t>10.3 库存流水示例</w:t>
      </w:r>
    </w:p>
    <w:p>
      <w:pPr>
        <w:spacing w:before="80" w:after="120" w:line="252" w:lineRule="auto"/>
        <w:ind w:left="115" w:right="115"/>
        <w:shd w:fill="F4F6F9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 w:eastAsia="等线"/>
          <w:color w:val="202124"/>
          <w:sz w:val="17"/>
        </w:rPr>
        <w:t>CREATE TABLE inv_stock_ledger (</w:t>
        <w:br/>
        <w:t xml:space="preserve">  id                    CHAR(26) CHARACTER SET ascii COLLATE ascii_bin NOT NULL,</w:t>
        <w:br/>
        <w:t xml:space="preserve">  tenant_id             VARCHAR(20) CHARACTER SET ascii COLLATE ascii_bin NOT NULL,</w:t>
        <w:br/>
        <w:t xml:space="preserve">  warehouse_id          CHAR(26) CHARACTER SET ascii COLLATE ascii_bin NOT NULL,</w:t>
        <w:br/>
        <w:t xml:space="preserve">  sku_id                CHAR(26) CHARACTER SET ascii COLLATE ascii_bin NOT NULL,</w:t>
        <w:br/>
        <w:t xml:space="preserve">  stock_dimension_key   VARCHAR(128) CHARACTER SET ascii COLLATE ascii_bin NOT NULL,</w:t>
        <w:br/>
        <w:t xml:space="preserve">  business_type         VARCHAR(32) NOT NULL,</w:t>
        <w:br/>
        <w:t xml:space="preserve">  reference_type        VARCHAR(32) NOT NULL,</w:t>
        <w:br/>
        <w:t xml:space="preserve">  reference_id          CHAR(26) CHARACTER SET ascii COLLATE ascii_bin NOT NULL,</w:t>
        <w:br/>
        <w:t xml:space="preserve">  reference_line_id     CHAR(26) CHARACTER SET ascii COLLATE ascii_bin NULL,</w:t>
        <w:br/>
        <w:t xml:space="preserve">  idempotency_key       VARCHAR(128) CHARACTER SET ascii COLLATE ascii_bin NOT NULL,</w:t>
        <w:br/>
        <w:t xml:space="preserve">  quantity_delta        DECIMAL(19,6) NOT NULL,</w:t>
        <w:br/>
        <w:t xml:space="preserve">  quantity_before       DECIMAL(19,6) NOT NULL,</w:t>
        <w:br/>
        <w:t xml:space="preserve">  quantity_after        DECIMAL(19,6) NOT NULL,</w:t>
        <w:br/>
        <w:t xml:space="preserve">  unit_cost_before      DECIMAL(19,6) NULL,</w:t>
        <w:br/>
        <w:t xml:space="preserve">  unit_cost_after       DECIMAL(19,6) NULL,</w:t>
        <w:br/>
        <w:t xml:space="preserve">  business_date         DATE NOT NULL,</w:t>
        <w:br/>
        <w:t xml:space="preserve">  occurred_at           DATETIME(3) NOT NULL,</w:t>
        <w:br/>
        <w:t xml:space="preserve">  created_at            DATETIME(3) NOT NULL DEFAULT CURRENT_TIMESTAMP(3),</w:t>
        <w:br/>
        <w:t xml:space="preserve">  PRIMARY KEY (id),</w:t>
        <w:br/>
        <w:t xml:space="preserve">  UNIQUE KEY uk_inv_ledger_idem (tenant_id, idempotency_key),</w:t>
        <w:br/>
        <w:t xml:space="preserve">  KEY idx_inv_sku_time (tenant_id, warehouse_id, sku_id, occurred_at),</w:t>
        <w:br/>
        <w:t xml:space="preserve">  KEY idx_inv_reference (tenant_id, reference_type, reference_id)</w:t>
        <w:br/>
        <w:t>) ENGINE=InnoDB;</w:t>
      </w:r>
    </w:p>
    <w:p>
      <w:pPr>
        <w:pStyle w:val="Heading2"/>
      </w:pPr>
      <w:r>
        <w:t>10.4 Inbox与Outbox示例</w:t>
      </w:r>
    </w:p>
    <w:p>
      <w:pPr>
        <w:spacing w:before="80" w:after="120" w:line="252" w:lineRule="auto"/>
        <w:ind w:left="115" w:right="115"/>
        <w:shd w:fill="F4F6F9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 w:eastAsia="等线"/>
          <w:color w:val="202124"/>
          <w:sz w:val="17"/>
        </w:rPr>
        <w:t>CREATE TABLE sync_inbox (</w:t>
        <w:br/>
        <w:t xml:space="preserve">  id                    CHAR(26) CHARACTER SET ascii COLLATE ascii_bin NOT NULL,</w:t>
        <w:br/>
        <w:t xml:space="preserve">  tenant_id             VARCHAR(20) CHARACTER SET ascii COLLATE ascii_bin NOT NULL,</w:t>
        <w:br/>
        <w:t xml:space="preserve">  device_id             CHAR(26) CHARACTER SET ascii COLLATE ascii_bin NOT NULL,</w:t>
        <w:br/>
        <w:t xml:space="preserve">  client_event_id       CHAR(26) CHARACTER SET ascii COLLATE ascii_bin NOT NULL,</w:t>
        <w:br/>
        <w:t xml:space="preserve">  event_type            VARCHAR(64) NOT NULL,</w:t>
        <w:br/>
        <w:t xml:space="preserve">  payload_hash          CHAR(64) CHARACTER SET ascii COLLATE ascii_bin NOT NULL,</w:t>
        <w:br/>
        <w:t xml:space="preserve">  status                VARCHAR(32) NOT NULL,</w:t>
        <w:br/>
        <w:t xml:space="preserve">  result_code           VARCHAR(64) NULL,</w:t>
        <w:br/>
        <w:t xml:space="preserve">  received_at           DATETIME(3) NOT NULL,</w:t>
        <w:br/>
        <w:t xml:space="preserve">  processed_at          DATETIME(3) NULL,</w:t>
        <w:br/>
        <w:t xml:space="preserve">  PRIMARY KEY (id),</w:t>
        <w:br/>
        <w:t xml:space="preserve">  UNIQUE KEY uk_sync_inbox_event (tenant_id, device_id, client_event_id),</w:t>
        <w:br/>
        <w:t xml:space="preserve">  KEY idx_sync_inbox_status (tenant_id, status, received_at)</w:t>
        <w:br/>
        <w:t>) ENGINE=InnoDB;</w:t>
        <w:br/>
        <w:br/>
        <w:t>CREATE TABLE sync_outbox (</w:t>
        <w:br/>
        <w:t xml:space="preserve">  event_id              CHAR(26) CHARACTER SET ascii COLLATE ascii_bin NOT NULL,</w:t>
        <w:br/>
        <w:t xml:space="preserve">  tenant_id             VARCHAR(20) CHARACTER SET ascii COLLATE ascii_bin NOT NULL,</w:t>
        <w:br/>
        <w:t xml:space="preserve">  aggregate_type        VARCHAR(64) NOT NULL,</w:t>
        <w:br/>
        <w:t xml:space="preserve">  aggregate_id          CHAR(26) CHARACTER SET ascii COLLATE ascii_bin NOT NULL,</w:t>
        <w:br/>
        <w:t xml:space="preserve">  aggregate_version     BIGINT NOT NULL,</w:t>
        <w:br/>
        <w:t xml:space="preserve">  event_type            VARCHAR(96) NOT NULL,</w:t>
        <w:br/>
        <w:t xml:space="preserve">  schema_version        INT NOT NULL,</w:t>
        <w:br/>
        <w:t xml:space="preserve">  payload_json          JSON NOT NULL,</w:t>
        <w:br/>
        <w:t xml:space="preserve">  status                VARCHAR(32) NOT NULL,</w:t>
        <w:br/>
        <w:t xml:space="preserve">  available_at          DATETIME(3) NOT NULL,</w:t>
        <w:br/>
        <w:t xml:space="preserve">  claimed_by            VARCHAR(64) NULL,</w:t>
        <w:br/>
        <w:t xml:space="preserve">  claimed_until         DATETIME(3) NULL,</w:t>
        <w:br/>
        <w:t xml:space="preserve">  attempt_count         INT NOT NULL DEFAULT 0,</w:t>
        <w:br/>
        <w:t xml:space="preserve">  last_error_code       VARCHAR(64) NULL,</w:t>
        <w:br/>
        <w:t xml:space="preserve">  created_at            DATETIME(3) NOT NULL DEFAULT CURRENT_TIMESTAMP(3),</w:t>
        <w:br/>
        <w:t xml:space="preserve">  published_at          DATETIME(3) NULL,</w:t>
        <w:br/>
        <w:t xml:space="preserve">  PRIMARY KEY (event_id),</w:t>
        <w:br/>
        <w:t xml:space="preserve">  KEY idx_outbox_dispatch (status, available_at, claimed_until),</w:t>
        <w:br/>
        <w:t xml:space="preserve">  KEY idx_outbox_aggregate (tenant_id, aggregate_type, aggregate_id, aggregate_version)</w:t>
        <w:br/>
        <w:t>) ENGINE=InnoDB;</w:t>
      </w:r>
    </w:p>
    <w:p>
      <w:r>
        <w:t>Outbox清理必须在事件已成功投递且超过审计保留窗口后执行；不能为了控制表大小删除尚未确认的记录。</w:t>
      </w:r>
    </w:p>
    <w:p>
      <w:pPr>
        <w:pStyle w:val="Heading1"/>
      </w:pPr>
      <w:r>
        <w:t>十一、索引、并发与性能规范</w:t>
      </w:r>
    </w:p>
    <w:p>
      <w:pPr>
        <w:pStyle w:val="Heading2"/>
      </w:pPr>
      <w:r>
        <w:t>11.1 索引原则</w:t>
      </w:r>
    </w:p>
    <w:p>
      <w:pPr>
        <w:pStyle w:val="ListBullet"/>
        <w:numPr>
          <w:ilvl w:val="0"/>
          <w:numId w:val="10"/>
        </w:numPr>
      </w:pPr>
      <w:r>
        <w:t>索引从真实查询和租户过滤出发，不为每个字段机械建索引。</w:t>
      </w:r>
    </w:p>
    <w:p>
      <w:pPr>
        <w:pStyle w:val="ListBullet"/>
        <w:numPr>
          <w:ilvl w:val="0"/>
          <w:numId w:val="10"/>
        </w:numPr>
      </w:pPr>
      <w:r>
        <w:t>高频租户查询的联合索引通常以</w:t>
      </w:r>
      <w:r>
        <w:rPr>
          <w:rFonts w:ascii="Consolas" w:hAnsi="Consolas" w:eastAsia="等线"/>
          <w:color w:val="1F4D78"/>
          <w:sz w:val="20"/>
        </w:rPr>
        <w:t>tenant_id</w:t>
      </w:r>
      <w:r>
        <w:t>开头，后接高选择性范围字段。</w:t>
      </w:r>
    </w:p>
    <w:p>
      <w:pPr>
        <w:pStyle w:val="ListBullet"/>
        <w:numPr>
          <w:ilvl w:val="0"/>
          <w:numId w:val="10"/>
        </w:numPr>
      </w:pPr>
      <w:r>
        <w:t>唯一约束必须在数据库实现，不能只依赖应用先查后插。</w:t>
      </w:r>
    </w:p>
    <w:p>
      <w:pPr>
        <w:pStyle w:val="ListBullet"/>
        <w:numPr>
          <w:ilvl w:val="0"/>
          <w:numId w:val="10"/>
        </w:numPr>
      </w:pPr>
      <w:r>
        <w:t>外部ID、幂等键、订单号、支付号、条码等精确查找使用二进制/大小写敏感排序。</w:t>
      </w:r>
    </w:p>
    <w:p>
      <w:pPr>
        <w:pStyle w:val="ListBullet"/>
        <w:numPr>
          <w:ilvl w:val="0"/>
          <w:numId w:val="10"/>
        </w:numPr>
      </w:pPr>
      <w:r>
        <w:t>大文本、JSON和低选择性状态字段不单独建立无效索引。</w:t>
      </w:r>
    </w:p>
    <w:p>
      <w:pPr>
        <w:pStyle w:val="ListBullet"/>
        <w:numPr>
          <w:ilvl w:val="0"/>
          <w:numId w:val="10"/>
        </w:numPr>
      </w:pPr>
      <w:r>
        <w:t>上线前对核心SQL执行</w:t>
      </w:r>
      <w:r>
        <w:rPr>
          <w:rFonts w:ascii="Consolas" w:hAnsi="Consolas" w:eastAsia="等线"/>
          <w:color w:val="1F4D78"/>
          <w:sz w:val="20"/>
        </w:rPr>
        <w:t>EXPLAIN ANALYZE</w:t>
      </w:r>
      <w:r>
        <w:t>，保存基准数据量和执行计划。</w:t>
      </w:r>
    </w:p>
    <w:p>
      <w:pPr>
        <w:pStyle w:val="Heading2"/>
      </w:pPr>
      <w:r>
        <w:t>11.2 并发控制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27"/>
        <w:gridCol w:w="7433"/>
      </w:tblGrid>
      <w:tr>
        <w:trPr>
          <w:cantSplit/>
          <w:tblHeader w:val="true"/>
        </w:trP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场景</w:t>
            </w:r>
          </w:p>
        </w:tc>
        <w:tc>
          <w:tcPr>
            <w:tcW w:type="dxa" w:w="7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策略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主数据普通编辑</w:t>
            </w:r>
          </w:p>
        </w:tc>
        <w:tc>
          <w:tcPr>
            <w:tcW w:type="dxa" w:w="7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record_version</w:t>
            </w:r>
            <w:r>
              <w:rPr>
                <w:rFonts w:ascii="Calibri" w:hAnsi="Calibri" w:eastAsia="等线"/>
                <w:color w:val="202124"/>
                <w:sz w:val="19"/>
              </w:rPr>
              <w:t>乐观锁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订单状态迁移</w:t>
            </w:r>
          </w:p>
        </w:tc>
        <w:tc>
          <w:tcPr>
            <w:tcW w:type="dxa" w:w="7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条件更新</w:t>
            </w:r>
            <w:r>
              <w:rPr>
                <w:rFonts w:ascii="Consolas" w:hAnsi="Consolas" w:eastAsia="等线"/>
                <w:color w:val="1F4D78"/>
                <w:sz w:val="19"/>
              </w:rPr>
              <w:t>WHERE id=? AND status=? AND record_version=?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支付回调</w:t>
            </w:r>
          </w:p>
        </w:tc>
        <w:tc>
          <w:tcPr>
            <w:tcW w:type="dxa" w:w="7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渠道事件唯一键 + 支付状态机条件更新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库存扣减</w:t>
            </w:r>
          </w:p>
        </w:tc>
        <w:tc>
          <w:tcPr>
            <w:tcW w:type="dxa" w:w="7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锁定余额行或原子条件更新 + 同事务流水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库存预占</w:t>
            </w:r>
          </w:p>
        </w:tc>
        <w:tc>
          <w:tcPr>
            <w:tcW w:type="dxa" w:w="7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幂等键 + 可用量条件更新 + 预占流水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Outbox认领</w:t>
            </w:r>
          </w:p>
        </w:tc>
        <w:tc>
          <w:tcPr>
            <w:tcW w:type="dxa" w:w="7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短租约/跳过锁定记录，处理完成后确认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编号生成</w:t>
            </w:r>
          </w:p>
        </w:tc>
        <w:tc>
          <w:tcPr>
            <w:tcW w:type="dxa" w:w="7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服务端号段或终端安全序列；主键不依赖编号</w:t>
            </w:r>
          </w:p>
        </w:tc>
      </w:tr>
    </w:tbl>
    <w:p>
      <w:pPr>
        <w:spacing w:before="0" w:after="40"/>
      </w:pPr>
    </w:p>
    <w:p>
      <w:r>
        <w:t>禁止在乐观锁失败后无条件覆盖。调用方必须重新读取并按当前状态决定重试、拒绝或进入冲突处理。</w:t>
      </w:r>
    </w:p>
    <w:p>
      <w:pPr>
        <w:pStyle w:val="Heading2"/>
      </w:pPr>
      <w:r>
        <w:t>11.3 分页与导出</w:t>
      </w:r>
    </w:p>
    <w:p>
      <w:pPr>
        <w:pStyle w:val="ListBullet"/>
        <w:numPr>
          <w:ilvl w:val="0"/>
          <w:numId w:val="10"/>
        </w:numPr>
      </w:pPr>
      <w:r>
        <w:t>交易明细优先使用稳定游标分页，如</w:t>
      </w:r>
      <w:r>
        <w:rPr>
          <w:rFonts w:ascii="Consolas" w:hAnsi="Consolas" w:eastAsia="等线"/>
          <w:color w:val="1F4D78"/>
          <w:sz w:val="20"/>
        </w:rPr>
        <w:t>(occurred_at, id)</w:t>
      </w:r>
      <w:r>
        <w:t>。</w:t>
      </w:r>
    </w:p>
    <w:p>
      <w:pPr>
        <w:pStyle w:val="ListBullet"/>
        <w:numPr>
          <w:ilvl w:val="0"/>
          <w:numId w:val="10"/>
        </w:numPr>
      </w:pPr>
      <w:r>
        <w:t>页码分页只用于变化较小的管理列表。</w:t>
      </w:r>
    </w:p>
    <w:p>
      <w:pPr>
        <w:pStyle w:val="ListBullet"/>
        <w:numPr>
          <w:ilvl w:val="0"/>
          <w:numId w:val="10"/>
        </w:numPr>
      </w:pPr>
      <w:r>
        <w:t>大导出创建异步任务并从只读副本/分析层读取。</w:t>
      </w:r>
    </w:p>
    <w:p>
      <w:pPr>
        <w:pStyle w:val="ListBullet"/>
        <w:numPr>
          <w:ilvl w:val="0"/>
          <w:numId w:val="10"/>
        </w:numPr>
      </w:pPr>
      <w:r>
        <w:t>导出任务记录查询条件、数据范围、操作者、文件摘要、到期和下载审计。</w:t>
      </w:r>
    </w:p>
    <w:p>
      <w:pPr>
        <w:pStyle w:val="Heading2"/>
      </w:pPr>
      <w:r>
        <w:t>11.4 容量与分区</w:t>
      </w:r>
    </w:p>
    <w:p>
      <w:r>
        <w:t>商业V1不预先分库分表。满足以下任一条件时通过ADR评估归档、分区或分片：</w:t>
      </w:r>
    </w:p>
    <w:p>
      <w:pPr>
        <w:pStyle w:val="ListBullet"/>
        <w:numPr>
          <w:ilvl w:val="0"/>
          <w:numId w:val="10"/>
        </w:numPr>
      </w:pPr>
      <w:r>
        <w:t>单表达到影响备份、迁移或核心查询的实际阈值。</w:t>
      </w:r>
    </w:p>
    <w:p>
      <w:pPr>
        <w:pStyle w:val="ListBullet"/>
        <w:numPr>
          <w:ilvl w:val="0"/>
          <w:numId w:val="10"/>
        </w:numPr>
      </w:pPr>
      <w:r>
        <w:t>单租户占用形成明显热点或需要专属SLA。</w:t>
      </w:r>
    </w:p>
    <w:p>
      <w:pPr>
        <w:pStyle w:val="ListBullet"/>
        <w:numPr>
          <w:ilvl w:val="0"/>
          <w:numId w:val="10"/>
        </w:numPr>
      </w:pPr>
      <w:r>
        <w:t>报表负载持续影响交易P95。</w:t>
      </w:r>
    </w:p>
    <w:p>
      <w:pPr>
        <w:pStyle w:val="ListBullet"/>
        <w:numPr>
          <w:ilvl w:val="0"/>
          <w:numId w:val="10"/>
        </w:numPr>
      </w:pPr>
      <w:r>
        <w:t>法律、合同或数据驻留要求独立存储。</w:t>
      </w:r>
    </w:p>
    <w:p>
      <w:r>
        <w:t>分片键不得只考虑写入均匀，还必须满足租户隔离、门店查询、对账、归档和迁移。</w:t>
      </w:r>
    </w:p>
    <w:p>
      <w:pPr>
        <w:pStyle w:val="Heading1"/>
      </w:pPr>
      <w:r>
        <w:t>十二、事件、审计与可追溯性</w:t>
      </w:r>
    </w:p>
    <w:p>
      <w:pPr>
        <w:pStyle w:val="Heading2"/>
      </w:pPr>
      <w:r>
        <w:t>12.1 领域事件字段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event_id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ULID，全局唯一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event_type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过去式事实 + 版本，如</w:t>
            </w:r>
            <w:r>
              <w:rPr>
                <w:rFonts w:ascii="Consolas" w:hAnsi="Consolas" w:eastAsia="等线"/>
                <w:color w:val="1F4D78"/>
                <w:sz w:val="19"/>
              </w:rPr>
              <w:t>order.paid.v1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tenant_id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从服务端上下文写入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aggregate_type/id/version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支持顺序和幂等检查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occurred_at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事实发生时间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trace_id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跨调用关联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schema_version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Payload契约版本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payload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只包含消费者必要数据，不泄漏敏感字段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12.2 审计分类</w:t>
      </w:r>
    </w:p>
    <w:p>
      <w:pPr>
        <w:pStyle w:val="ListBullet"/>
        <w:numPr>
          <w:ilvl w:val="0"/>
          <w:numId w:val="10"/>
        </w:numPr>
      </w:pPr>
      <w:r>
        <w:t>安全审计：登录、MFA、设备激活、权限和密钥变更。</w:t>
      </w:r>
    </w:p>
    <w:p>
      <w:pPr>
        <w:pStyle w:val="ListBullet"/>
        <w:numPr>
          <w:ilvl w:val="0"/>
          <w:numId w:val="10"/>
        </w:numPr>
      </w:pPr>
      <w:r>
        <w:t>管理审计：商品、价格、促销、配置和套餐变更。</w:t>
      </w:r>
    </w:p>
    <w:p>
      <w:pPr>
        <w:pStyle w:val="ListBullet"/>
        <w:numPr>
          <w:ilvl w:val="0"/>
          <w:numId w:val="10"/>
        </w:numPr>
      </w:pPr>
      <w:r>
        <w:t>交易审计：改价、抹零、退款、无单退货、库存调整和交班差异。</w:t>
      </w:r>
    </w:p>
    <w:p>
      <w:pPr>
        <w:pStyle w:val="ListBullet"/>
        <w:numPr>
          <w:ilvl w:val="0"/>
          <w:numId w:val="10"/>
        </w:numPr>
      </w:pPr>
      <w:r>
        <w:t>数据审计：导入、导出、迁移、合并、匿名化和删除请求。</w:t>
      </w:r>
    </w:p>
    <w:p>
      <w:pPr>
        <w:pStyle w:val="ListBullet"/>
        <w:numPr>
          <w:ilvl w:val="0"/>
          <w:numId w:val="10"/>
        </w:numPr>
      </w:pPr>
      <w:r>
        <w:t>运维审计：远程命令、版本升级、诊断包和人工数据修复。</w:t>
      </w:r>
    </w:p>
    <w:p>
      <w:r>
        <w:t>审计日志与业务状态历史分工明确：审计说明“谁做了什么”，领域流水说明“业务事实如何变化”。二者都不能用普通应用日志替代。</w:t>
      </w:r>
    </w:p>
    <w:p>
      <w:pPr>
        <w:pStyle w:val="Heading2"/>
      </w:pPr>
      <w:r>
        <w:t>12.3 人工数据修复</w:t>
      </w:r>
    </w:p>
    <w:p>
      <w:pPr>
        <w:pStyle w:val="ListBullet"/>
        <w:numPr>
          <w:ilvl w:val="0"/>
          <w:numId w:val="10"/>
        </w:numPr>
      </w:pPr>
      <w:r>
        <w:t>禁止直接在生产库执行无记录的UPDATE修复交易。</w:t>
      </w:r>
    </w:p>
    <w:p>
      <w:pPr>
        <w:pStyle w:val="ListBullet"/>
        <w:numPr>
          <w:ilvl w:val="0"/>
          <w:numId w:val="10"/>
        </w:numPr>
      </w:pPr>
      <w:r>
        <w:t>修复必须有工单、影响分析、备份、双人复核、可重放脚本和结果核对。</w:t>
      </w:r>
    </w:p>
    <w:p>
      <w:pPr>
        <w:pStyle w:val="ListBullet"/>
        <w:numPr>
          <w:ilvl w:val="0"/>
          <w:numId w:val="10"/>
        </w:numPr>
      </w:pPr>
      <w:r>
        <w:t>能通过业务调整单或冲正解决时，不使用SQL修改事实。</w:t>
      </w:r>
    </w:p>
    <w:p>
      <w:pPr>
        <w:pStyle w:val="ListBullet"/>
        <w:numPr>
          <w:ilvl w:val="0"/>
          <w:numId w:val="10"/>
        </w:numPr>
      </w:pPr>
      <w:r>
        <w:t>紧急SQL执行后必须补录审计、事件和核验报告，并在24小时内复盘。</w:t>
      </w:r>
    </w:p>
    <w:p>
      <w:pPr>
        <w:pStyle w:val="Heading1"/>
      </w:pPr>
      <w:r>
        <w:t>十三、数据安全、隐私与保留</w:t>
      </w:r>
    </w:p>
    <w:p>
      <w:pPr>
        <w:pStyle w:val="Heading2"/>
      </w:pPr>
      <w:r>
        <w:t>13.1 数据分级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12"/>
        <w:gridCol w:w="2970"/>
        <w:gridCol w:w="4078"/>
      </w:tblGrid>
      <w:tr>
        <w:trPr>
          <w:cantSplit/>
          <w:tblHeader w:val="true"/>
        </w:trPr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等级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示例</w:t>
            </w:r>
          </w:p>
        </w:tc>
        <w:tc>
          <w:tcPr>
            <w:tcW w:type="dxa" w:w="4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保护要求</w:t>
            </w:r>
          </w:p>
        </w:tc>
      </w:tr>
      <w:tr>
        <w:trPr>
          <w:cantSplit/>
        </w:trPr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L4高度敏感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密钥、支付证书、设备私钥</w:t>
            </w:r>
          </w:p>
        </w:tc>
        <w:tc>
          <w:tcPr>
            <w:tcW w:type="dxa" w:w="4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不进普通表；KMS/安全存储；严格访问与轮换</w:t>
            </w:r>
          </w:p>
        </w:tc>
      </w:tr>
      <w:tr>
        <w:trPr>
          <w:cantSplit/>
        </w:trPr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L3敏感个人信息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身份证、精确地址、支付敏感引用</w:t>
            </w:r>
          </w:p>
        </w:tc>
        <w:tc>
          <w:tcPr>
            <w:tcW w:type="dxa" w:w="4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字段加密、最小化、强审计和脱敏展示</w:t>
            </w:r>
          </w:p>
        </w:tc>
      </w:tr>
      <w:tr>
        <w:trPr>
          <w:cantSplit/>
        </w:trPr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L2个人信息/商业敏感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手机、会员、采购价、毛利</w:t>
            </w:r>
          </w:p>
        </w:tc>
        <w:tc>
          <w:tcPr>
            <w:tcW w:type="dxa" w:w="4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权限、脱敏、导出水印和保留控制</w:t>
            </w:r>
          </w:p>
        </w:tc>
      </w:tr>
      <w:tr>
        <w:trPr>
          <w:cantSplit/>
        </w:trPr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L1内部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配置、一般日志、字典</w:t>
            </w:r>
          </w:p>
        </w:tc>
        <w:tc>
          <w:tcPr>
            <w:tcW w:type="dxa" w:w="4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内部访问和完整性保护</w:t>
            </w:r>
          </w:p>
        </w:tc>
      </w:tr>
      <w:tr>
        <w:trPr>
          <w:cantSplit/>
        </w:trPr>
        <w:tc>
          <w:tcPr>
            <w:tcW w:type="dxa" w:w="2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L0公开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已公开商品信息</w:t>
            </w:r>
          </w:p>
        </w:tc>
        <w:tc>
          <w:tcPr>
            <w:tcW w:type="dxa" w:w="4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防篡改和来源治理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13.2 加密与密钥</w:t>
      </w:r>
    </w:p>
    <w:p>
      <w:pPr>
        <w:pStyle w:val="ListBullet"/>
        <w:numPr>
          <w:ilvl w:val="0"/>
          <w:numId w:val="10"/>
        </w:numPr>
      </w:pPr>
      <w:r>
        <w:t>传输使用TLS；数据库磁盘和备份启用存储加密。</w:t>
      </w:r>
    </w:p>
    <w:p>
      <w:pPr>
        <w:pStyle w:val="ListBullet"/>
        <w:numPr>
          <w:ilvl w:val="0"/>
          <w:numId w:val="10"/>
        </w:numPr>
      </w:pPr>
      <w:r>
        <w:t>应用字段加密使用信封加密和版本化密钥，密文保存算法/密钥版本。</w:t>
      </w:r>
    </w:p>
    <w:p>
      <w:pPr>
        <w:pStyle w:val="ListBullet"/>
        <w:numPr>
          <w:ilvl w:val="0"/>
          <w:numId w:val="10"/>
        </w:numPr>
      </w:pPr>
      <w:r>
        <w:t>搜索敏感精确值时使用标准化后HMAC索引，不保存可逆明文索引。</w:t>
      </w:r>
    </w:p>
    <w:p>
      <w:pPr>
        <w:pStyle w:val="ListBullet"/>
        <w:numPr>
          <w:ilvl w:val="0"/>
          <w:numId w:val="10"/>
        </w:numPr>
      </w:pPr>
      <w:r>
        <w:t>密钥不写入代码、配置仓库、日志、诊断包和普通数据库备份。</w:t>
      </w:r>
    </w:p>
    <w:p>
      <w:pPr>
        <w:pStyle w:val="Heading2"/>
      </w:pPr>
      <w:r>
        <w:t>13.3 保留与归档</w:t>
      </w:r>
    </w:p>
    <w:p>
      <w:r>
        <w:t>具体期限由法律、合同、财税和业务需要确认并写入文档39。技术实现必须支持：</w:t>
      </w:r>
    </w:p>
    <w:p>
      <w:pPr>
        <w:pStyle w:val="ListBullet"/>
        <w:numPr>
          <w:ilvl w:val="0"/>
          <w:numId w:val="10"/>
        </w:numPr>
      </w:pPr>
      <w:r>
        <w:t>按租户、数据类型和日期配置保留策略。</w:t>
      </w:r>
    </w:p>
    <w:p>
      <w:pPr>
        <w:pStyle w:val="ListBullet"/>
        <w:numPr>
          <w:ilvl w:val="0"/>
          <w:numId w:val="10"/>
        </w:numPr>
      </w:pPr>
      <w:r>
        <w:t>归档前生成数量、金额、摘要和对象清单。</w:t>
      </w:r>
    </w:p>
    <w:p>
      <w:pPr>
        <w:pStyle w:val="ListBullet"/>
        <w:numPr>
          <w:ilvl w:val="0"/>
          <w:numId w:val="10"/>
        </w:numPr>
      </w:pPr>
      <w:r>
        <w:t>归档数据只读、加密、可检索、可审计恢复。</w:t>
      </w:r>
    </w:p>
    <w:p>
      <w:pPr>
        <w:pStyle w:val="ListBullet"/>
        <w:numPr>
          <w:ilvl w:val="0"/>
          <w:numId w:val="10"/>
        </w:numPr>
      </w:pPr>
      <w:r>
        <w:t>删除任务幂等并产生不可篡改证明。</w:t>
      </w:r>
    </w:p>
    <w:p>
      <w:pPr>
        <w:pStyle w:val="ListBullet"/>
        <w:numPr>
          <w:ilvl w:val="0"/>
          <w:numId w:val="10"/>
        </w:numPr>
      </w:pPr>
      <w:r>
        <w:t>合法冻结（Legal Hold）期间暂停删除。</w:t>
      </w:r>
    </w:p>
    <w:p>
      <w:pPr>
        <w:pStyle w:val="Heading1"/>
      </w:pPr>
      <w:r>
        <w:t>十四、数据库迁移与版本兼容</w:t>
      </w:r>
    </w:p>
    <w:p>
      <w:pPr>
        <w:pStyle w:val="Heading2"/>
      </w:pPr>
      <w:r>
        <w:t>14.1 Flyway目录</w:t>
      </w:r>
    </w:p>
    <w:p>
      <w:pPr>
        <w:spacing w:before="80" w:after="120" w:line="252" w:lineRule="auto"/>
        <w:ind w:left="115" w:right="115"/>
        <w:shd w:fill="F4F6F9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 w:eastAsia="等线"/>
          <w:color w:val="202124"/>
          <w:sz w:val="17"/>
        </w:rPr>
        <w:t>db/migration/</w:t>
        <w:br/>
        <w:t>├─ platform/</w:t>
        <w:br/>
        <w:t>├─ masterdata/</w:t>
        <w:br/>
        <w:t>├─ order/</w:t>
        <w:br/>
        <w:t>├─ payment/</w:t>
        <w:br/>
        <w:t>├─ inventory/</w:t>
        <w:br/>
        <w:t>├─ member/</w:t>
        <w:br/>
        <w:t>├─ sync/</w:t>
        <w:br/>
        <w:t>└─ connector/</w:t>
      </w:r>
    </w:p>
    <w:p>
      <w:r>
        <w:t>迁移版本在最终打包时形成全局单调序列，文件名包含版本、模块和动作，如</w:t>
      </w:r>
      <w:r>
        <w:rPr>
          <w:rFonts w:ascii="Consolas" w:hAnsi="Consolas" w:eastAsia="等线"/>
          <w:color w:val="1F4D78"/>
          <w:sz w:val="20"/>
        </w:rPr>
        <w:t>V20260815_031__order_add_refund_status.sql</w:t>
      </w:r>
      <w:r>
        <w:t>。</w:t>
      </w:r>
    </w:p>
    <w:p>
      <w:pPr>
        <w:pStyle w:val="Heading2"/>
      </w:pPr>
      <w:r>
        <w:t>14.2 迁移规则</w:t>
      </w:r>
    </w:p>
    <w:p>
      <w:pPr>
        <w:pStyle w:val="ListBullet"/>
        <w:numPr>
          <w:ilvl w:val="0"/>
          <w:numId w:val="10"/>
        </w:numPr>
      </w:pPr>
      <w:r>
        <w:t>已进入共享环境的脚本不得修改，只能新增修复脚本。</w:t>
      </w:r>
    </w:p>
    <w:p>
      <w:pPr>
        <w:pStyle w:val="ListBullet"/>
        <w:numPr>
          <w:ilvl w:val="0"/>
          <w:numId w:val="10"/>
        </w:numPr>
      </w:pPr>
      <w:r>
        <w:t>先加可空列/新表并双写，再迁移存量，再切读，最后在后续版本收缩旧结构。</w:t>
      </w:r>
    </w:p>
    <w:p>
      <w:pPr>
        <w:pStyle w:val="ListBullet"/>
        <w:numPr>
          <w:ilvl w:val="0"/>
          <w:numId w:val="10"/>
        </w:numPr>
      </w:pPr>
      <w:r>
        <w:t>同一版本不得删除旧POS仍访问的字段、枚举和接口。</w:t>
      </w:r>
    </w:p>
    <w:p>
      <w:pPr>
        <w:pStyle w:val="ListBullet"/>
        <w:numPr>
          <w:ilvl w:val="0"/>
          <w:numId w:val="10"/>
        </w:numPr>
      </w:pPr>
      <w:r>
        <w:t>新非空字段必须提供默认、回填或分阶段约束策略。</w:t>
      </w:r>
    </w:p>
    <w:p>
      <w:pPr>
        <w:pStyle w:val="ListBullet"/>
        <w:numPr>
          <w:ilvl w:val="0"/>
          <w:numId w:val="10"/>
        </w:numPr>
      </w:pPr>
      <w:r>
        <w:t>大表DDL必须评估元数据锁、复制延迟、中断恢复和回滚窗口。</w:t>
      </w:r>
    </w:p>
    <w:p>
      <w:pPr>
        <w:pStyle w:val="ListBullet"/>
        <w:numPr>
          <w:ilvl w:val="0"/>
          <w:numId w:val="10"/>
        </w:numPr>
      </w:pPr>
      <w:r>
        <w:t>迁移前后执行数量、金额、摘要和孤儿引用核对。</w:t>
      </w:r>
    </w:p>
    <w:p>
      <w:pPr>
        <w:pStyle w:val="Heading2"/>
      </w:pPr>
      <w:r>
        <w:t>14.3 多版本兼容</w:t>
      </w:r>
    </w:p>
    <w:p>
      <w:pPr>
        <w:pStyle w:val="ListBullet"/>
        <w:numPr>
          <w:ilvl w:val="0"/>
          <w:numId w:val="10"/>
        </w:numPr>
      </w:pPr>
      <w:r>
        <w:t>服务端维护最低支持POS协议版本和强制升级条件。</w:t>
      </w:r>
    </w:p>
    <w:p>
      <w:pPr>
        <w:pStyle w:val="ListBullet"/>
        <w:numPr>
          <w:ilvl w:val="0"/>
          <w:numId w:val="10"/>
        </w:numPr>
      </w:pPr>
      <w:r>
        <w:t>新状态对旧客户端必须映射到安全可读状态；不能让旧客户端把未知状态当成功。</w:t>
      </w:r>
    </w:p>
    <w:p>
      <w:pPr>
        <w:pStyle w:val="ListBullet"/>
        <w:numPr>
          <w:ilvl w:val="0"/>
          <w:numId w:val="10"/>
        </w:numPr>
      </w:pPr>
      <w:r>
        <w:t>数据包Schema包含版本和最小客户端版本。</w:t>
      </w:r>
    </w:p>
    <w:p>
      <w:pPr>
        <w:pStyle w:val="ListBullet"/>
        <w:numPr>
          <w:ilvl w:val="0"/>
          <w:numId w:val="10"/>
        </w:numPr>
      </w:pPr>
      <w:r>
        <w:t>事件消费者至少支持当前和上一个仍在投递窗口内的Schema版本。</w:t>
      </w:r>
    </w:p>
    <w:p>
      <w:pPr>
        <w:pStyle w:val="Heading1"/>
      </w:pPr>
      <w:r>
        <w:t>十五、数据质量与对账规则</w:t>
      </w:r>
    </w:p>
    <w:p>
      <w:pPr>
        <w:pStyle w:val="Heading2"/>
      </w:pPr>
      <w:r>
        <w:t>15.1 通用质量维度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检查示例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完整性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非空字段、订单行存在、支付引用存在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唯一性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条码、业务号、外部ID、幂等键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一致性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tenant一致、金额守恒、状态与流水一致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准确性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商品单位、税率、价格、成本来源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及时性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POS同步延迟、连接器游标、对账账期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可追溯性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来源、版本、actor、trace、原始报文引用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15.2 每日自动核验</w:t>
      </w:r>
    </w:p>
    <w:p>
      <w:pPr>
        <w:pStyle w:val="ListBullet"/>
        <w:numPr>
          <w:ilvl w:val="0"/>
          <w:numId w:val="10"/>
        </w:numPr>
      </w:pPr>
      <w:r>
        <w:t>订单应收、支付净额、退款累计和订单支付状态一致。</w:t>
      </w:r>
    </w:p>
    <w:p>
      <w:pPr>
        <w:pStyle w:val="ListBullet"/>
        <w:numPr>
          <w:ilvl w:val="0"/>
          <w:numId w:val="10"/>
        </w:numPr>
      </w:pPr>
      <w:r>
        <w:t>库存余额与流水累计/抽样重算一致。</w:t>
      </w:r>
    </w:p>
    <w:p>
      <w:pPr>
        <w:pStyle w:val="ListBullet"/>
        <w:numPr>
          <w:ilvl w:val="0"/>
          <w:numId w:val="10"/>
        </w:numPr>
      </w:pPr>
      <w:r>
        <w:t>现金理论余额与班次现金流水一致。</w:t>
      </w:r>
    </w:p>
    <w:p>
      <w:pPr>
        <w:pStyle w:val="ListBullet"/>
        <w:numPr>
          <w:ilvl w:val="0"/>
          <w:numId w:val="10"/>
        </w:numPr>
      </w:pPr>
      <w:r>
        <w:t>积分、券和储值余额与账本一致。</w:t>
      </w:r>
    </w:p>
    <w:p>
      <w:pPr>
        <w:pStyle w:val="ListBullet"/>
        <w:numPr>
          <w:ilvl w:val="0"/>
          <w:numId w:val="10"/>
        </w:numPr>
      </w:pPr>
      <w:r>
        <w:t>Outbox无超时积压，Inbox无异常重复Payload。</w:t>
      </w:r>
    </w:p>
    <w:p>
      <w:pPr>
        <w:pStyle w:val="ListBullet"/>
        <w:numPr>
          <w:ilvl w:val="0"/>
          <w:numId w:val="10"/>
        </w:numPr>
      </w:pPr>
      <w:r>
        <w:t>支付渠道账单与系统支付/退款匹配。</w:t>
      </w:r>
    </w:p>
    <w:p>
      <w:pPr>
        <w:pStyle w:val="ListBullet"/>
        <w:numPr>
          <w:ilvl w:val="0"/>
          <w:numId w:val="10"/>
        </w:numPr>
      </w:pPr>
      <w:r>
        <w:t>各租户核心表不存在tenant为空或父子tenant不一致。</w:t>
      </w:r>
    </w:p>
    <w:p>
      <w:r>
        <w:t>核验失败必须进入异常中心，记录规则版本、影响范围、首次/最近发生时间和处理结果。</w:t>
      </w:r>
    </w:p>
    <w:p>
      <w:pPr>
        <w:pStyle w:val="Heading1"/>
      </w:pPr>
      <w:r>
        <w:t>十六、禁止事项</w:t>
      </w:r>
    </w:p>
    <w:p>
      <w:pPr>
        <w:pStyle w:val="ListBullet"/>
        <w:numPr>
          <w:ilvl w:val="0"/>
          <w:numId w:val="10"/>
        </w:numPr>
      </w:pPr>
      <w:r>
        <w:t>禁止以数据库自增ID作为离线订单主键。</w:t>
      </w:r>
    </w:p>
    <w:p>
      <w:pPr>
        <w:pStyle w:val="ListBullet"/>
        <w:numPr>
          <w:ilvl w:val="0"/>
          <w:numId w:val="10"/>
        </w:numPr>
      </w:pPr>
      <w:r>
        <w:t>禁止使用浮点数保存或计算金额、成本和数量。</w:t>
      </w:r>
    </w:p>
    <w:p>
      <w:pPr>
        <w:pStyle w:val="ListBullet"/>
        <w:numPr>
          <w:ilvl w:val="0"/>
          <w:numId w:val="10"/>
        </w:numPr>
      </w:pPr>
      <w:r>
        <w:t>禁止订单、支付、退款、库存共用一个万能状态字段。</w:t>
      </w:r>
    </w:p>
    <w:p>
      <w:pPr>
        <w:pStyle w:val="ListBullet"/>
        <w:numPr>
          <w:ilvl w:val="0"/>
          <w:numId w:val="10"/>
        </w:numPr>
      </w:pPr>
      <w:r>
        <w:t>禁止通过删除支付/库存流水修正结果。</w:t>
      </w:r>
    </w:p>
    <w:p>
      <w:pPr>
        <w:pStyle w:val="ListBullet"/>
        <w:numPr>
          <w:ilvl w:val="0"/>
          <w:numId w:val="10"/>
        </w:numPr>
      </w:pPr>
      <w:r>
        <w:t>禁止跨领域Mapper直接更新其他模块表。</w:t>
      </w:r>
    </w:p>
    <w:p>
      <w:pPr>
        <w:pStyle w:val="ListBullet"/>
        <w:numPr>
          <w:ilvl w:val="0"/>
          <w:numId w:val="10"/>
        </w:numPr>
      </w:pPr>
      <w:r>
        <w:t>禁止只在Controller或前端检查租户和权限。</w:t>
      </w:r>
    </w:p>
    <w:p>
      <w:pPr>
        <w:pStyle w:val="ListBullet"/>
        <w:numPr>
          <w:ilvl w:val="0"/>
          <w:numId w:val="10"/>
        </w:numPr>
      </w:pPr>
      <w:r>
        <w:t>禁止以Redis、消息队列或日志作为唯一交易事实。</w:t>
      </w:r>
    </w:p>
    <w:p>
      <w:pPr>
        <w:pStyle w:val="ListBullet"/>
        <w:numPr>
          <w:ilvl w:val="0"/>
          <w:numId w:val="10"/>
        </w:numPr>
      </w:pPr>
      <w:r>
        <w:t>禁止对未知支付结果自动再次发起扣款。</w:t>
      </w:r>
    </w:p>
    <w:p>
      <w:pPr>
        <w:pStyle w:val="ListBullet"/>
        <w:numPr>
          <w:ilvl w:val="0"/>
          <w:numId w:val="10"/>
        </w:numPr>
      </w:pPr>
      <w:r>
        <w:t>禁止把当前商品、价格和促销数据当作历史订单快照。</w:t>
      </w:r>
    </w:p>
    <w:p>
      <w:pPr>
        <w:pStyle w:val="ListBullet"/>
        <w:numPr>
          <w:ilvl w:val="0"/>
          <w:numId w:val="10"/>
        </w:numPr>
      </w:pPr>
      <w:r>
        <w:t>禁止无幂等键处理POS重传、Webhook和库存命令。</w:t>
      </w:r>
    </w:p>
    <w:p>
      <w:pPr>
        <w:pStyle w:val="ListBullet"/>
        <w:numPr>
          <w:ilvl w:val="0"/>
          <w:numId w:val="10"/>
        </w:numPr>
      </w:pPr>
      <w:r>
        <w:t>禁止生产手工改表代替Flyway迁移。</w:t>
      </w:r>
    </w:p>
    <w:p>
      <w:pPr>
        <w:pStyle w:val="ListBullet"/>
        <w:numPr>
          <w:ilvl w:val="0"/>
          <w:numId w:val="10"/>
        </w:numPr>
      </w:pPr>
      <w:r>
        <w:t>禁止未加密保存支付密钥、设备私钥和连接器凭证。</w:t>
      </w:r>
    </w:p>
    <w:p>
      <w:pPr>
        <w:pStyle w:val="Heading1"/>
      </w:pPr>
      <w:r>
        <w:t>十七、测试与验收</w:t>
      </w:r>
    </w:p>
    <w:p>
      <w:pPr>
        <w:pStyle w:val="Heading2"/>
      </w:pPr>
      <w:r>
        <w:t>17.1 架构测试</w:t>
      </w:r>
    </w:p>
    <w:p>
      <w:pPr>
        <w:pStyle w:val="ListBullet"/>
        <w:numPr>
          <w:ilvl w:val="0"/>
          <w:numId w:val="10"/>
        </w:numPr>
      </w:pPr>
      <w:r>
        <w:t>ArchUnit验证领域依赖方向和禁止跨模块Mapper访问。</w:t>
      </w:r>
    </w:p>
    <w:p>
      <w:pPr>
        <w:pStyle w:val="ListBullet"/>
        <w:numPr>
          <w:ilvl w:val="0"/>
          <w:numId w:val="10"/>
        </w:numPr>
      </w:pPr>
      <w:r>
        <w:t>自动扫描租户表是否包含</w:t>
      </w:r>
      <w:r>
        <w:rPr>
          <w:rFonts w:ascii="Consolas" w:hAnsi="Consolas" w:eastAsia="等线"/>
          <w:color w:val="1F4D78"/>
          <w:sz w:val="20"/>
        </w:rPr>
        <w:t>tenant_id</w:t>
      </w:r>
      <w:r>
        <w:t>及租户索引。</w:t>
      </w:r>
    </w:p>
    <w:p>
      <w:pPr>
        <w:pStyle w:val="ListBullet"/>
        <w:numPr>
          <w:ilvl w:val="0"/>
          <w:numId w:val="10"/>
        </w:numPr>
      </w:pPr>
      <w:r>
        <w:t>Mapper XML和原生SQL执行租户逃逸测试。</w:t>
      </w:r>
    </w:p>
    <w:p>
      <w:pPr>
        <w:pStyle w:val="ListBullet"/>
        <w:numPr>
          <w:ilvl w:val="0"/>
          <w:numId w:val="10"/>
        </w:numPr>
      </w:pPr>
      <w:r>
        <w:t>Flyway执行空库、当前版本升级、两个历史版本升级和重复执行测试。</w:t>
      </w:r>
    </w:p>
    <w:p>
      <w:pPr>
        <w:pStyle w:val="Heading2"/>
      </w:pPr>
      <w:r>
        <w:t>17.2 数据不变量测试</w:t>
      </w:r>
    </w:p>
    <w:p>
      <w:pPr>
        <w:pStyle w:val="ListBullet"/>
        <w:numPr>
          <w:ilvl w:val="0"/>
          <w:numId w:val="10"/>
        </w:numPr>
      </w:pPr>
      <w:r>
        <w:t>金额使用属性测试验证优惠分摊与订单金额守恒。</w:t>
      </w:r>
    </w:p>
    <w:p>
      <w:pPr>
        <w:pStyle w:val="ListBullet"/>
        <w:numPr>
          <w:ilvl w:val="0"/>
          <w:numId w:val="10"/>
        </w:numPr>
      </w:pPr>
      <w:r>
        <w:t>支付/退款重复回调、乱序、超时和查询补偿不重复入账。</w:t>
      </w:r>
    </w:p>
    <w:p>
      <w:pPr>
        <w:pStyle w:val="ListBullet"/>
        <w:numPr>
          <w:ilvl w:val="0"/>
          <w:numId w:val="10"/>
        </w:numPr>
      </w:pPr>
      <w:r>
        <w:t>库存命令重复执行只产生一条有效流水。</w:t>
      </w:r>
    </w:p>
    <w:p>
      <w:pPr>
        <w:pStyle w:val="ListBullet"/>
        <w:numPr>
          <w:ilvl w:val="0"/>
          <w:numId w:val="10"/>
        </w:numPr>
      </w:pPr>
      <w:r>
        <w:t>乐观锁冲突不会静默覆盖。</w:t>
      </w:r>
    </w:p>
    <w:p>
      <w:pPr>
        <w:pStyle w:val="ListBullet"/>
        <w:numPr>
          <w:ilvl w:val="0"/>
          <w:numId w:val="10"/>
        </w:numPr>
      </w:pPr>
      <w:r>
        <w:t>POS相同事件重传返回原结果；不同Payload复用同一事件ID被拒绝并告警。</w:t>
      </w:r>
    </w:p>
    <w:p>
      <w:pPr>
        <w:pStyle w:val="ListBullet"/>
        <w:numPr>
          <w:ilvl w:val="0"/>
          <w:numId w:val="10"/>
        </w:numPr>
      </w:pPr>
      <w:r>
        <w:t>不同时区、跨午夜和夜班场景的业务日期正确。</w:t>
      </w:r>
    </w:p>
    <w:p>
      <w:pPr>
        <w:pStyle w:val="Heading2"/>
      </w:pPr>
      <w:r>
        <w:t>17.3 数据迁移验收</w:t>
      </w:r>
    </w:p>
    <w:p>
      <w:pPr>
        <w:pStyle w:val="ListBullet"/>
        <w:numPr>
          <w:ilvl w:val="0"/>
          <w:numId w:val="10"/>
        </w:numPr>
      </w:pPr>
      <w:r>
        <w:t>总记录数、有效记录数、金额合计、库存合计和会员余额核对。</w:t>
      </w:r>
    </w:p>
    <w:p>
      <w:pPr>
        <w:pStyle w:val="ListBullet"/>
        <w:numPr>
          <w:ilvl w:val="0"/>
          <w:numId w:val="10"/>
        </w:numPr>
      </w:pPr>
      <w:r>
        <w:t>重复条码、无效单位、孤儿引用、非法状态和负余额形成错误报告。</w:t>
      </w:r>
    </w:p>
    <w:p>
      <w:pPr>
        <w:pStyle w:val="ListBullet"/>
        <w:numPr>
          <w:ilvl w:val="0"/>
          <w:numId w:val="10"/>
        </w:numPr>
      </w:pPr>
      <w:r>
        <w:t>迁移可在演练环境重复执行，失败可从检查点恢复。</w:t>
      </w:r>
    </w:p>
    <w:p>
      <w:pPr>
        <w:pStyle w:val="ListBullet"/>
        <w:numPr>
          <w:ilvl w:val="0"/>
          <w:numId w:val="10"/>
        </w:numPr>
      </w:pPr>
      <w:r>
        <w:t>商户对期初库存、会员权益和未结订单签字确认。</w:t>
      </w:r>
    </w:p>
    <w:p>
      <w:pPr>
        <w:pStyle w:val="Heading2"/>
      </w:pPr>
      <w:r>
        <w:t>17.4 完成门槛</w:t>
      </w:r>
    </w:p>
    <w:p>
      <w:r>
        <w:t>本文进入“已批准”状态前必须满足：</w:t>
      </w:r>
    </w:p>
    <w:p>
      <w:pPr>
        <w:pStyle w:val="ListBullet"/>
        <w:numPr>
          <w:ilvl w:val="0"/>
          <w:numId w:val="10"/>
        </w:numPr>
      </w:pPr>
      <w:r>
        <w:t>领域负责人确认所有权和聚合边界。</w:t>
      </w:r>
    </w:p>
    <w:p>
      <w:pPr>
        <w:pStyle w:val="ListBullet"/>
        <w:numPr>
          <w:ilvl w:val="0"/>
          <w:numId w:val="10"/>
        </w:numPr>
      </w:pPr>
      <w:r>
        <w:t>架构、后端、Flutter、测试、DBA、安全完成评审。</w:t>
      </w:r>
    </w:p>
    <w:p>
      <w:pPr>
        <w:pStyle w:val="ListBullet"/>
        <w:numPr>
          <w:ilvl w:val="0"/>
          <w:numId w:val="10"/>
        </w:numPr>
      </w:pPr>
      <w:r>
        <w:t>文档32至35引用的表、标识、金额和状态命名与本文一致。</w:t>
      </w:r>
    </w:p>
    <w:p>
      <w:pPr>
        <w:pStyle w:val="ListBullet"/>
        <w:numPr>
          <w:ilvl w:val="0"/>
          <w:numId w:val="10"/>
        </w:numPr>
      </w:pPr>
      <w:r>
        <w:t>关键表DDL在MySQL目标版本执行通过。</w:t>
      </w:r>
    </w:p>
    <w:p>
      <w:pPr>
        <w:pStyle w:val="ListBullet"/>
        <w:numPr>
          <w:ilvl w:val="0"/>
          <w:numId w:val="10"/>
        </w:numPr>
      </w:pPr>
      <w:r>
        <w:t>核心索引在代表性数据规模上完成执行计划验证。</w:t>
      </w:r>
    </w:p>
    <w:p>
      <w:pPr>
        <w:pStyle w:val="ListBullet"/>
        <w:numPr>
          <w:ilvl w:val="0"/>
          <w:numId w:val="10"/>
        </w:numPr>
      </w:pPr>
      <w:r>
        <w:t>租户隔离、幂等、账本和迁移测试进入CI。</w:t>
      </w:r>
    </w:p>
    <w:p>
      <w:pPr>
        <w:pStyle w:val="Heading1"/>
      </w:pPr>
      <w:r>
        <w:t>十八、后续文档约束</w:t>
      </w:r>
    </w:p>
    <w:p>
      <w:pPr>
        <w:pStyle w:val="Heading2"/>
      </w:pPr>
      <w:r>
        <w:t>18.1 对文档32的约束</w:t>
      </w:r>
    </w:p>
    <w:p>
      <w:pPr>
        <w:pStyle w:val="ListBullet"/>
        <w:numPr>
          <w:ilvl w:val="0"/>
          <w:numId w:val="10"/>
        </w:numPr>
      </w:pPr>
      <w:r>
        <w:t>订单、支付、退款使用独立聚合和状态历史。</w:t>
      </w:r>
    </w:p>
    <w:p>
      <w:pPr>
        <w:pStyle w:val="ListBullet"/>
        <w:numPr>
          <w:ilvl w:val="0"/>
          <w:numId w:val="10"/>
        </w:numPr>
      </w:pPr>
      <w:r>
        <w:t>状态迁移不得跨领域直接写表。</w:t>
      </w:r>
    </w:p>
    <w:p>
      <w:pPr>
        <w:pStyle w:val="ListBullet"/>
        <w:numPr>
          <w:ilvl w:val="0"/>
          <w:numId w:val="10"/>
        </w:numPr>
      </w:pPr>
      <w:r>
        <w:t>金额字段和幂等键沿用本文定义。</w:t>
      </w:r>
    </w:p>
    <w:p>
      <w:pPr>
        <w:pStyle w:val="Heading2"/>
      </w:pPr>
      <w:r>
        <w:t>18.2 对文档33的约束</w:t>
      </w:r>
    </w:p>
    <w:p>
      <w:pPr>
        <w:pStyle w:val="ListBullet"/>
        <w:numPr>
          <w:ilvl w:val="0"/>
          <w:numId w:val="10"/>
        </w:numPr>
      </w:pPr>
      <w:r>
        <w:t>库存余额与流水同事务更新。</w:t>
      </w:r>
    </w:p>
    <w:p>
      <w:pPr>
        <w:pStyle w:val="ListBullet"/>
        <w:numPr>
          <w:ilvl w:val="0"/>
          <w:numId w:val="10"/>
        </w:numPr>
      </w:pPr>
      <w:r>
        <w:t>预占、释放、消费必须守恒且幂等。</w:t>
      </w:r>
    </w:p>
    <w:p>
      <w:pPr>
        <w:pStyle w:val="ListBullet"/>
        <w:numPr>
          <w:ilvl w:val="0"/>
          <w:numId w:val="10"/>
        </w:numPr>
      </w:pPr>
      <w:r>
        <w:t>成本使用</w:t>
      </w:r>
      <w:r>
        <w:rPr>
          <w:rFonts w:ascii="Consolas" w:hAnsi="Consolas" w:eastAsia="等线"/>
          <w:color w:val="1F4D78"/>
          <w:sz w:val="20"/>
        </w:rPr>
        <w:t>DECIMAL(19,6)</w:t>
      </w:r>
      <w:r>
        <w:t>，不能由报表倒算后覆盖交易。</w:t>
      </w:r>
    </w:p>
    <w:p>
      <w:pPr>
        <w:pStyle w:val="Heading2"/>
      </w:pPr>
      <w:r>
        <w:t>18.3 对文档34的约束</w:t>
      </w:r>
    </w:p>
    <w:p>
      <w:pPr>
        <w:pStyle w:val="ListBullet"/>
        <w:numPr>
          <w:ilvl w:val="0"/>
          <w:numId w:val="10"/>
        </w:numPr>
      </w:pPr>
      <w:r>
        <w:t>促销规则版本化，订单保存命中和分摊快照。</w:t>
      </w:r>
    </w:p>
    <w:p>
      <w:pPr>
        <w:pStyle w:val="ListBullet"/>
        <w:numPr>
          <w:ilvl w:val="0"/>
          <w:numId w:val="10"/>
        </w:numPr>
      </w:pPr>
      <w:r>
        <w:t>分摊合计必须等于优惠总额。</w:t>
      </w:r>
    </w:p>
    <w:p>
      <w:pPr>
        <w:pStyle w:val="ListBullet"/>
        <w:numPr>
          <w:ilvl w:val="0"/>
          <w:numId w:val="10"/>
        </w:numPr>
      </w:pPr>
      <w:r>
        <w:t>退货按原成交快照回退，不按当前促销重算。</w:t>
      </w:r>
    </w:p>
    <w:p>
      <w:pPr>
        <w:pStyle w:val="Heading2"/>
      </w:pPr>
      <w:r>
        <w:t>18.4 对文档35的约束</w:t>
      </w:r>
    </w:p>
    <w:p>
      <w:pPr>
        <w:pStyle w:val="ListBullet"/>
        <w:numPr>
          <w:ilvl w:val="0"/>
          <w:numId w:val="10"/>
        </w:numPr>
      </w:pPr>
      <w:r>
        <w:t>终端业务聚合和事件使用ULID。</w:t>
      </w:r>
    </w:p>
    <w:p>
      <w:pPr>
        <w:pStyle w:val="ListBullet"/>
        <w:numPr>
          <w:ilvl w:val="0"/>
          <w:numId w:val="10"/>
        </w:numPr>
      </w:pPr>
      <w:r>
        <w:t>Inbox/Outbox幂等，商品/价格数据包原子切换。</w:t>
      </w:r>
    </w:p>
    <w:p>
      <w:pPr>
        <w:pStyle w:val="ListBullet"/>
        <w:numPr>
          <w:ilvl w:val="0"/>
          <w:numId w:val="10"/>
        </w:numPr>
      </w:pPr>
      <w:r>
        <w:t>冲突不能使用通用“最后写入覆盖”。</w:t>
      </w:r>
    </w:p>
    <w:p>
      <w:pPr>
        <w:pStyle w:val="Heading1"/>
      </w:pPr>
      <w:r>
        <w:t>附录A：表前缀与模块所有者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48"/>
        <w:gridCol w:w="2493"/>
        <w:gridCol w:w="4319"/>
      </w:tblGrid>
      <w:tr>
        <w:trPr>
          <w:cantSplit/>
          <w:tblHeader w:val="true"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前缀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写入所有者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sys_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若依平台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platform-system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biz_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经营组织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platform-organization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dev_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pos-device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sync_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同步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pos-sync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prd_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pos-masterdata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prc_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价格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pos-pricing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prm_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促销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pos-promotion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ord_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pos-order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shf_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班次现金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pos-order/shift子域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pay_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支付退款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pos-payment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inv_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库存成本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pos-inventory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pur_</w:t>
            </w:r>
            <w:r>
              <w:rPr>
                <w:rFonts w:ascii="Calibri" w:hAnsi="Calibri" w:eastAsia="等线"/>
                <w:color w:val="202124"/>
                <w:sz w:val="19"/>
              </w:rPr>
              <w:t>/</w:t>
            </w:r>
            <w:r>
              <w:rPr>
                <w:rFonts w:ascii="Consolas" w:hAnsi="Consolas" w:eastAsia="等线"/>
                <w:color w:val="1F4D78"/>
                <w:sz w:val="19"/>
              </w:rPr>
              <w:t>sup_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采购供应商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pos-procurement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mbr_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会员权益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pos-member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set_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往来结算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pos-settlement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con_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connector-runtime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rpt_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报表语义</w:t>
            </w:r>
          </w:p>
        </w:tc>
        <w:tc>
          <w:tcPr>
            <w:tcW w:type="dxa" w:w="4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reporting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附录B：字段命名词典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33"/>
        <w:gridCol w:w="2973"/>
        <w:gridCol w:w="4154"/>
      </w:tblGrid>
      <w:tr>
        <w:trPr>
          <w:cantSplit/>
          <w:tblHeader w:val="true"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语义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推荐字段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禁止/不推荐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最小货币金额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*_amount_minor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money</w:t>
            </w:r>
            <w:r>
              <w:rPr>
                <w:rFonts w:ascii="Calibri" w:hAnsi="Calibri" w:eastAsia="等线"/>
                <w:color w:val="202124"/>
                <w:sz w:val="19"/>
              </w:rPr>
              <w:t>、</w:t>
            </w:r>
            <w:r>
              <w:rPr>
                <w:rFonts w:ascii="Consolas" w:hAnsi="Consolas" w:eastAsia="等线"/>
                <w:color w:val="1F4D78"/>
                <w:sz w:val="19"/>
              </w:rPr>
              <w:t>amount</w:t>
            </w:r>
            <w:r>
              <w:rPr>
                <w:rFonts w:ascii="Calibri" w:hAnsi="Calibri" w:eastAsia="等线"/>
                <w:color w:val="202124"/>
                <w:sz w:val="19"/>
              </w:rPr>
              <w:t>含义不清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高精度单价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unit_price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price_float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数量变化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quantity_delta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change_num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乐观锁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record_version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与业务版本混用的</w:t>
            </w:r>
            <w:r>
              <w:rPr>
                <w:rFonts w:ascii="Consolas" w:hAnsi="Consolas" w:eastAsia="等线"/>
                <w:color w:val="1F4D78"/>
                <w:sz w:val="19"/>
              </w:rPr>
              <w:t>version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业务日期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business_date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用</w:t>
            </w:r>
            <w:r>
              <w:rPr>
                <w:rFonts w:ascii="Consolas" w:hAnsi="Consolas" w:eastAsia="等线"/>
                <w:color w:val="1F4D78"/>
                <w:sz w:val="19"/>
              </w:rPr>
              <w:t>created_at</w:t>
            </w:r>
            <w:r>
              <w:rPr>
                <w:rFonts w:ascii="Calibri" w:hAnsi="Calibri" w:eastAsia="等线"/>
                <w:color w:val="202124"/>
                <w:sz w:val="19"/>
              </w:rPr>
              <w:t>代替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外部ID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external_*_id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把外部ID放入内部主键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幂等键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idempotency_key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request_no</w:t>
            </w:r>
            <w:r>
              <w:rPr>
                <w:rFonts w:ascii="Calibri" w:hAnsi="Calibri" w:eastAsia="等线"/>
                <w:color w:val="202124"/>
                <w:sz w:val="19"/>
              </w:rPr>
              <w:t>但无唯一约束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发生时间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occurred_at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只存创建时间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接收时间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received_at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覆盖第三方发生时间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状态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等线"/>
                <w:color w:val="1F4D78"/>
                <w:sz w:val="19"/>
              </w:rPr>
              <w:t>status</w:t>
            </w:r>
            <w:r>
              <w:rPr>
                <w:rFonts w:ascii="Calibri" w:hAnsi="Calibri" w:eastAsia="等线"/>
                <w:color w:val="202124"/>
                <w:sz w:val="19"/>
              </w:rPr>
              <w:t>+独立维度状态</w:t>
            </w:r>
          </w:p>
        </w:tc>
        <w:tc>
          <w:tcPr>
            <w:tcW w:type="dxa" w:w="4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多含义</w:t>
            </w:r>
            <w:r>
              <w:rPr>
                <w:rFonts w:ascii="Consolas" w:hAnsi="Consolas" w:eastAsia="等线"/>
                <w:color w:val="1F4D78"/>
                <w:sz w:val="19"/>
              </w:rPr>
              <w:t>state_flag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附录C：首批必须落地的数据库对象</w:t>
      </w:r>
    </w:p>
    <w:p>
      <w:r>
        <w:t>商业V1 Alpha前必须优先落地：</w:t>
      </w:r>
    </w:p>
    <w:p>
      <w:pPr>
        <w:pStyle w:val="ListNumber"/>
        <w:numPr>
          <w:ilvl w:val="0"/>
          <w:numId w:val="11"/>
        </w:numPr>
      </w:pPr>
      <w:r>
        <w:t>经营组织、门店、仓库和设备表。</w:t>
      </w:r>
    </w:p>
    <w:p>
      <w:pPr>
        <w:pStyle w:val="ListNumber"/>
        <w:numPr>
          <w:ilvl w:val="0"/>
          <w:numId w:val="11"/>
        </w:numPr>
      </w:pPr>
      <w:r>
        <w:t>商品、SKU、条码、单位、门店范围和价格发布表。</w:t>
      </w:r>
    </w:p>
    <w:p>
      <w:pPr>
        <w:pStyle w:val="ListNumber"/>
        <w:numPr>
          <w:ilvl w:val="0"/>
          <w:numId w:val="11"/>
        </w:numPr>
      </w:pPr>
      <w:r>
        <w:t>订单头、行、优惠分摊、快照和状态历史表。</w:t>
      </w:r>
    </w:p>
    <w:p>
      <w:pPr>
        <w:pStyle w:val="ListNumber"/>
        <w:numPr>
          <w:ilvl w:val="0"/>
          <w:numId w:val="11"/>
        </w:numPr>
      </w:pPr>
      <w:r>
        <w:t>班次、现金流水和交班汇总表。</w:t>
      </w:r>
    </w:p>
    <w:p>
      <w:pPr>
        <w:pStyle w:val="ListNumber"/>
        <w:numPr>
          <w:ilvl w:val="0"/>
          <w:numId w:val="11"/>
        </w:numPr>
      </w:pPr>
      <w:r>
        <w:t>支付、尝试、渠道事件、退款和状态历史表。</w:t>
      </w:r>
    </w:p>
    <w:p>
      <w:pPr>
        <w:pStyle w:val="ListNumber"/>
        <w:numPr>
          <w:ilvl w:val="0"/>
          <w:numId w:val="11"/>
        </w:numPr>
      </w:pPr>
      <w:r>
        <w:t>库存余额、流水、预占、盘点和成本流水表。</w:t>
      </w:r>
    </w:p>
    <w:p>
      <w:pPr>
        <w:pStyle w:val="ListNumber"/>
        <w:numPr>
          <w:ilvl w:val="0"/>
          <w:numId w:val="11"/>
        </w:numPr>
      </w:pPr>
      <w:r>
        <w:t>采购订单、收货和供应商基础表。</w:t>
      </w:r>
    </w:p>
    <w:p>
      <w:pPr>
        <w:pStyle w:val="ListNumber"/>
        <w:numPr>
          <w:ilvl w:val="0"/>
          <w:numId w:val="11"/>
        </w:numPr>
      </w:pPr>
      <w:r>
        <w:t>会员身份和积分基础账本表。</w:t>
      </w:r>
    </w:p>
    <w:p>
      <w:pPr>
        <w:pStyle w:val="ListNumber"/>
        <w:numPr>
          <w:ilvl w:val="0"/>
          <w:numId w:val="11"/>
        </w:numPr>
      </w:pPr>
      <w:r>
        <w:t>设备版本、同步Inbox/Outbox、游标和数据包表。</w:t>
      </w:r>
    </w:p>
    <w:p>
      <w:pPr>
        <w:pStyle w:val="ListNumber"/>
        <w:numPr>
          <w:ilvl w:val="0"/>
          <w:numId w:val="11"/>
        </w:numPr>
      </w:pPr>
      <w:r>
        <w:t>连接器实例、凭证引用、映射和消息任务表。</w:t>
      </w:r>
    </w:p>
    <w:p>
      <w:pPr>
        <w:pStyle w:val="Heading1"/>
      </w:pPr>
      <w:r>
        <w:t>文档结论</w:t>
      </w:r>
    </w:p>
    <w:p>
      <w:r>
        <w:t>平台数据库以RuoYi平台身份为基础，以ULID支撑离线业务聚合，以领域所有权控制写入边界，以状态历史、不可变流水和Outbox保障可追溯与最终一致。任何后续规格、代码或迁移脚本若与本文在主键、租户、金额、账本、快照或事务边界上冲突，必须先修改并重新批准本文或提交明确ADR，不得在实现中形成隐性分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领域模型与数据库设计说明书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连接器型商业收银经营平台：领域模型与数据库设计说明书 V1.0</dc:title>
  <dc:subject>领域模型、数据库设计、数据边界与研发验收</dc:subject>
  <dc:creator>jshPOS项目组</dc:creator>
  <cp:keywords>POS, 领域模型, 数据库, 账本, 多租户, ULID, Outbox</cp:keywords>
  <dc:description>详细设计规格版本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