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</w:pPr>
      <w:r>
        <w:rPr>
          <w:rFonts w:ascii="Calibri" w:hAnsi="Calibri" w:eastAsia="等线"/>
          <w:b/>
          <w:color w:val="2E74B5"/>
          <w:sz w:val="20"/>
        </w:rPr>
        <w:t>DETAILED DESIGN / DATA SPECIFICATION</w:t>
      </w:r>
    </w:p>
    <w:p>
      <w:pPr>
        <w:spacing w:after="120"/>
      </w:pPr>
      <w:r>
        <w:rPr>
          <w:rFonts w:ascii="Calibri" w:hAnsi="Calibri" w:eastAsia="等线"/>
          <w:b/>
          <w:color w:val="17365D"/>
          <w:sz w:val="56"/>
        </w:rPr>
        <w:t>连接器型商业收银经营平台</w:t>
      </w:r>
    </w:p>
    <w:p>
      <w:pPr>
        <w:spacing w:after="400"/>
      </w:pPr>
      <w:r>
        <w:rPr>
          <w:rFonts w:ascii="Calibri" w:hAnsi="Calibri" w:eastAsia="等线"/>
          <w:b/>
          <w:color w:val="1F4D78"/>
          <w:sz w:val="32"/>
        </w:rPr>
        <w:t>安全、隐私、等保与灾备实施方案 V1.0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文档编号：</w:t>
      </w:r>
      <w:r>
        <w:rPr>
          <w:rFonts w:ascii="Calibri" w:hAnsi="Calibri" w:eastAsia="等线"/>
          <w:color w:val="202124"/>
          <w:sz w:val="21"/>
        </w:rPr>
        <w:t>POS-DD-039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文档性质：</w:t>
      </w:r>
      <w:r>
        <w:rPr>
          <w:rFonts w:ascii="Calibri" w:hAnsi="Calibri" w:eastAsia="等线"/>
          <w:color w:val="202124"/>
          <w:sz w:val="21"/>
        </w:rPr>
        <w:t>领域详细设计、数据库基线与研发验收依据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服务端基线：</w:t>
      </w:r>
      <w:r>
        <w:rPr>
          <w:rFonts w:ascii="Calibri" w:hAnsi="Calibri" w:eastAsia="等线"/>
          <w:color w:val="202124"/>
          <w:sz w:val="21"/>
        </w:rPr>
        <w:t>RuoYi-Vue-Plus 模块化单体 + MySQL 8.4 LTS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终端基线：</w:t>
      </w:r>
      <w:r>
        <w:rPr>
          <w:rFonts w:ascii="Calibri" w:hAnsi="Calibri" w:eastAsia="等线"/>
          <w:color w:val="202124"/>
          <w:sz w:val="21"/>
        </w:rPr>
        <w:t>Flutter Android POS，Windows认证后兼容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文档状态：</w:t>
      </w:r>
      <w:r>
        <w:rPr>
          <w:rFonts w:ascii="Calibri" w:hAnsi="Calibri" w:eastAsia="等线"/>
          <w:color w:val="202124"/>
          <w:sz w:val="21"/>
        </w:rPr>
        <w:t>架构评审稿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基线日期：</w:t>
      </w:r>
      <w:r>
        <w:rPr>
          <w:rFonts w:ascii="Calibri" w:hAnsi="Calibri" w:eastAsia="等线"/>
          <w:color w:val="202124"/>
          <w:sz w:val="21"/>
        </w:rPr>
        <w:t>2026年8月15日</w:t>
      </w:r>
    </w:p>
    <w:p>
      <w:pPr>
        <w:spacing w:before="280" w:after="360"/>
        <w:pBdr>
          <w:bottom w:val="single" w:sz="10" w:space="6" w:color="2E74B5"/>
        </w:pBdr>
      </w:pPr>
    </w:p>
    <w:p>
      <w:pPr>
        <w:spacing w:before="80" w:after="80"/>
        <w:ind w:left="173" w:right="173"/>
        <w:jc w:val="center"/>
        <w:shd w:fill="E8EEF5"/>
        <w:pBdr>
          <w:top w:val="single" w:sz="4" w:space="4" w:color="D5DEE8"/>
          <w:left w:val="single" w:sz="4" w:space="4" w:color="D5DEE8"/>
          <w:bottom w:val="single" w:sz="4" w:space="4" w:color="D5DEE8"/>
          <w:right w:val="single" w:sz="4" w:space="4" w:color="D5DEE8"/>
        </w:pBdr>
      </w:pPr>
      <w:r>
        <w:rPr>
          <w:rFonts w:ascii="Calibri" w:hAnsi="Calibri" w:eastAsia="等线"/>
          <w:b/>
          <w:color w:val="17365D"/>
          <w:sz w:val="24"/>
        </w:rPr>
        <w:t xml:space="preserve">  数据边界先于代码，交易事实不可覆盖，所有关键结果必须可追溯和可核验。  </w:t>
      </w:r>
    </w:p>
    <w:p>
      <w:pPr>
        <w:spacing w:before="840"/>
        <w:jc w:val="left"/>
      </w:pPr>
      <w:r>
        <w:rPr>
          <w:rFonts w:ascii="Calibri" w:hAnsi="Calibri" w:eastAsia="等线"/>
          <w:b/>
          <w:color w:val="667085"/>
          <w:sz w:val="20"/>
        </w:rPr>
        <w:t>jshPOS 项目组</w:t>
      </w:r>
    </w:p>
    <w:p>
      <w:r>
        <w:br w:type="page"/>
      </w:r>
    </w:p>
    <w:p>
      <w:pPr>
        <w:spacing w:before="0" w:after="240"/>
      </w:pPr>
      <w:r>
        <w:rPr>
          <w:rFonts w:ascii="Calibri" w:hAnsi="Calibri" w:eastAsia="等线"/>
          <w:b/>
          <w:color w:val="17365D"/>
          <w:sz w:val="40"/>
        </w:rPr>
        <w:t>目录</w:t>
      </w:r>
    </w:p>
    <w:p>
      <w:pPr>
        <w:spacing w:after="0"/>
      </w:pPr>
      <w:r>
        <w:rPr>
          <w:rFonts w:ascii="Calibri" w:hAnsi="Calibri" w:eastAsia="等线"/>
          <w:color w:val="202124"/>
          <w:sz w:val="21"/>
        </w:rPr>
        <w:fldChar w:fldCharType="begin"/>
        <w:instrText xml:space="preserve">TOC \o "1-3" \h \z \u</w:instrText>
        <w:fldChar w:fldCharType="separate"/>
        <w:t>目录将在打开或导出文档时自动更新</w:t>
        <w:fldChar w:fldCharType="end"/>
      </w:r>
    </w:p>
    <w:p>
      <w:r>
        <w:br w:type="page"/>
      </w:r>
    </w:p>
    <w:p>
      <w:pPr>
        <w:pStyle w:val="Heading1"/>
      </w:pPr>
      <w:r>
        <w:t>文档说明</w:t>
      </w:r>
    </w:p>
    <w:p>
      <w:pPr>
        <w:pStyle w:val="Heading2"/>
      </w:pPr>
      <w:r>
        <w:t>1. 编写目的</w:t>
      </w:r>
    </w:p>
    <w:p>
      <w:r>
        <w:t>本文给出商业 V1 从治理、架构、研发、运维、隐私、等保、支付边界、备份、灾难恢复和事件响应到验收证据的实施方案。它不是单纯的安全口号清单，而是每个控制项的责任人、技术措施、运行频率、证据和验收门槛。</w:t>
      </w:r>
    </w:p>
    <w:p>
      <w:pPr>
        <w:pStyle w:val="Heading2"/>
      </w:pPr>
      <w:r>
        <w:t>2. 法律与标准基线</w:t>
      </w:r>
    </w:p>
    <w:p>
      <w:pPr>
        <w:pStyle w:val="ListBullet"/>
        <w:numPr>
          <w:ilvl w:val="0"/>
          <w:numId w:val="10"/>
        </w:numPr>
      </w:pPr>
      <w:r>
        <w:t>适用 2026 年 1 月 1 日起施行的修正版《中华人民共和国网络安全法》：[中国人大网修法决定](https://www.npc.gov.cn/npc/c1773/c1848/c21114/wlaqfxz/wlaqfxz002/202511/t20251103_449242.html)。</w:t>
      </w:r>
    </w:p>
    <w:p>
      <w:pPr>
        <w:pStyle w:val="ListBullet"/>
        <w:numPr>
          <w:ilvl w:val="0"/>
          <w:numId w:val="10"/>
        </w:numPr>
      </w:pPr>
      <w:r>
        <w:t>个人信息处理遵循合法、正当、必要、诚信和最小范围原则，并落实个人权利、敏感信息、影响评估和处理者义务：[《个人信息保护法》](https://www.npc.gov.cn/WZWSREL25wYy9jMi9jMzA4MzQvMjAyMTA4L3QyMDIxMDgyMF8zMTMwODguaHRtbD9yZWY9aW1i)。</w:t>
      </w:r>
    </w:p>
    <w:p>
      <w:pPr>
        <w:pStyle w:val="ListBullet"/>
        <w:numPr>
          <w:ilvl w:val="0"/>
          <w:numId w:val="10"/>
        </w:numPr>
      </w:pPr>
      <w:r>
        <w:t>数据分类分级和数据安全责任遵循《数据安全法》：[工业和信息化部转载全文](https://www.miit.gov.cn/zwgk/zcwj/flfg/art/2022/art_284b390b84484f10b0e43eeafaad0f6d.html)。</w:t>
      </w:r>
    </w:p>
    <w:p>
      <w:pPr>
        <w:pStyle w:val="ListBullet"/>
        <w:numPr>
          <w:ilvl w:val="0"/>
          <w:numId w:val="10"/>
        </w:numPr>
      </w:pPr>
      <w:r>
        <w:t>《网络数据安全管理条例》自 2025 年 1 月 1 日施行，明确在等保基础上采取加密、备份、访问控制、安全认证等措施：[国家行政法规库](https://xzfg.moj.gov.cn/front/law/detail?LawID=1734)。</w:t>
      </w:r>
    </w:p>
    <w:p>
      <w:pPr>
        <w:pStyle w:val="ListBullet"/>
        <w:numPr>
          <w:ilvl w:val="0"/>
          <w:numId w:val="10"/>
        </w:numPr>
      </w:pPr>
      <w:r>
        <w:t>等保建设以现行 GB/T 22239-2019 基本要求、GB/T 25058-2019 实施指南、GB/T 25070-2019 安全设计、GB/T 28448-2019 测评要求等为基线：[国家标准全文公开系统](https://openstd.samr.gov.cn/bzgk/std/newGbInfo?hcno=BAFB47E8874764186BDB7865E8344DAF)。</w:t>
      </w:r>
    </w:p>
    <w:p>
      <w:pPr>
        <w:pStyle w:val="ListBullet"/>
        <w:numPr>
          <w:ilvl w:val="0"/>
          <w:numId w:val="10"/>
        </w:numPr>
      </w:pPr>
      <w:r>
        <w:t>应用安全验证采用 OWASP ASVS 5.0.0 的适用控制作为工程基线：[OWASP ASVS](https://owasp.org/www-project-application-security-verification-standard/)。</w:t>
      </w:r>
    </w:p>
    <w:p>
      <w:pPr>
        <w:pStyle w:val="ListBullet"/>
        <w:numPr>
          <w:ilvl w:val="0"/>
          <w:numId w:val="10"/>
        </w:numPr>
      </w:pPr>
      <w:r>
        <w:t>如系统存储、处理、传输持卡人数据或能影响持卡人数据环境，应按 PCI DSS 4.0.1 正式定界和评估；本方案优先通过持证支付 SDK/终端和令牌化缩小范围：[PCI SSC](https://www.pcisecuritystandards.org/standards/pci-dss/)。</w:t>
      </w:r>
    </w:p>
    <w:p>
      <w:r>
        <w:t>本文不是法律意见或正式等保定级结论。生产上线前应由法务、隐私负责人、主管部门及合格测评/支付评估机构确认适用范围。</w:t>
      </w:r>
    </w:p>
    <w:p>
      <w:pPr>
        <w:pStyle w:val="Heading2"/>
      </w:pPr>
      <w:r>
        <w:t>3. 安全目标</w:t>
      </w:r>
    </w:p>
    <w:p>
      <w:pPr>
        <w:pStyle w:val="ListBullet"/>
        <w:numPr>
          <w:ilvl w:val="0"/>
          <w:numId w:val="10"/>
        </w:numPr>
      </w:pPr>
      <w:r>
        <w:t>交易事实不丢失、不重复、不被未授权修改；</w:t>
      </w:r>
    </w:p>
    <w:p>
      <w:pPr>
        <w:pStyle w:val="ListBullet"/>
        <w:numPr>
          <w:ilvl w:val="0"/>
          <w:numId w:val="10"/>
        </w:numPr>
      </w:pPr>
      <w:r>
        <w:t>tenant_id 隔离贯穿身份、SQL、缓存、消息、对象存储和日志；</w:t>
      </w:r>
    </w:p>
    <w:p>
      <w:pPr>
        <w:pStyle w:val="ListBullet"/>
        <w:numPr>
          <w:ilvl w:val="0"/>
          <w:numId w:val="10"/>
        </w:numPr>
      </w:pPr>
      <w:r>
        <w:t>资金、库存、优惠、会员和结算变更可追溯；</w:t>
      </w:r>
    </w:p>
    <w:p>
      <w:pPr>
        <w:pStyle w:val="ListBullet"/>
        <w:numPr>
          <w:ilvl w:val="0"/>
          <w:numId w:val="10"/>
        </w:numPr>
      </w:pPr>
      <w:r>
        <w:t>POS 离线时仍受设备、时间、额度和签名约束；</w:t>
      </w:r>
    </w:p>
    <w:p>
      <w:pPr>
        <w:pStyle w:val="ListBullet"/>
        <w:numPr>
          <w:ilvl w:val="0"/>
          <w:numId w:val="10"/>
        </w:numPr>
      </w:pPr>
      <w:r>
        <w:t>外部接口最小权限、可吊销、可限流；</w:t>
      </w:r>
    </w:p>
    <w:p>
      <w:pPr>
        <w:pStyle w:val="ListBullet"/>
        <w:numPr>
          <w:ilvl w:val="0"/>
          <w:numId w:val="10"/>
        </w:numPr>
      </w:pPr>
      <w:r>
        <w:t>个人信息最小化、可查、可更正、可删除或依法保留；</w:t>
      </w:r>
    </w:p>
    <w:p>
      <w:pPr>
        <w:pStyle w:val="ListBullet"/>
        <w:numPr>
          <w:ilvl w:val="0"/>
          <w:numId w:val="10"/>
        </w:numPr>
      </w:pPr>
      <w:r>
        <w:t>安全事件可发现、可止损、可取证、可恢复；</w:t>
      </w:r>
    </w:p>
    <w:p>
      <w:pPr>
        <w:pStyle w:val="ListBullet"/>
        <w:numPr>
          <w:ilvl w:val="0"/>
          <w:numId w:val="10"/>
        </w:numPr>
      </w:pPr>
      <w:r>
        <w:t>单组件故障、可用区故障和区域灾难有分层恢复方案。</w:t>
      </w:r>
    </w:p>
    <w:p>
      <w:pPr>
        <w:pStyle w:val="Heading1"/>
      </w:pPr>
      <w:r>
        <w:t>一、治理与责任</w:t>
      </w:r>
    </w:p>
    <w:p>
      <w:pPr>
        <w:pStyle w:val="Heading2"/>
      </w:pPr>
      <w:r>
        <w:t>1.1 角色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009"/>
        <w:gridCol w:w="6351"/>
      </w:tblGrid>
      <w:tr>
        <w:trPr>
          <w:cantSplit/>
          <w:tblHeader w:val="true"/>
        </w:trP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角色</w:t>
            </w:r>
          </w:p>
        </w:tc>
        <w:tc>
          <w:tcPr>
            <w:tcW w:type="dxa" w:w="63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主要责任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安全委员会/管理层</w:t>
            </w:r>
          </w:p>
        </w:tc>
        <w:tc>
          <w:tcPr>
            <w:tcW w:type="dxa" w:w="63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风险接受、预算、重大事件和 Go/No-Go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CISO/安全负责人</w:t>
            </w:r>
          </w:p>
        </w:tc>
        <w:tc>
          <w:tcPr>
            <w:tcW w:type="dxa" w:w="63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安全体系、等保、事件响应和度量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个人信息保护负责人</w:t>
            </w:r>
          </w:p>
        </w:tc>
        <w:tc>
          <w:tcPr>
            <w:tcW w:type="dxa" w:w="63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隐私治理、影响评估、权利请求和监管沟通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数据负责人</w:t>
            </w:r>
          </w:p>
        </w:tc>
        <w:tc>
          <w:tcPr>
            <w:tcW w:type="dxa" w:w="63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分类分级、数据目录、保留和质量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架构负责人</w:t>
            </w:r>
          </w:p>
        </w:tc>
        <w:tc>
          <w:tcPr>
            <w:tcW w:type="dxa" w:w="63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安全架构、租户隔离、灾备和 ADR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研发负责人</w:t>
            </w:r>
          </w:p>
        </w:tc>
        <w:tc>
          <w:tcPr>
            <w:tcW w:type="dxa" w:w="63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安全编码、修复和证据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运维/SRE</w:t>
            </w:r>
          </w:p>
        </w:tc>
        <w:tc>
          <w:tcPr>
            <w:tcW w:type="dxa" w:w="63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配置、监控、备份、恢复和应急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业务负责人</w:t>
            </w:r>
          </w:p>
        </w:tc>
        <w:tc>
          <w:tcPr>
            <w:tcW w:type="dxa" w:w="63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处理目的、最小字段、权限和风险规则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租户管理员</w:t>
            </w:r>
          </w:p>
        </w:tc>
        <w:tc>
          <w:tcPr>
            <w:tcW w:type="dxa" w:w="63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本租户账号、门店、应用和数据授权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供应商负责人</w:t>
            </w:r>
          </w:p>
        </w:tc>
        <w:tc>
          <w:tcPr>
            <w:tcW w:type="dxa" w:w="63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云、支付、短信、硬件、连接器第三方风险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1.2 制度</w:t>
      </w:r>
    </w:p>
    <w:p>
      <w:r>
        <w:t>商业 V1 必须建立：</w:t>
      </w:r>
    </w:p>
    <w:p>
      <w:pPr>
        <w:pStyle w:val="ListBullet"/>
        <w:numPr>
          <w:ilvl w:val="0"/>
          <w:numId w:val="10"/>
        </w:numPr>
      </w:pPr>
      <w:r>
        <w:t>信息安全管理制度；</w:t>
      </w:r>
    </w:p>
    <w:p>
      <w:pPr>
        <w:pStyle w:val="ListBullet"/>
        <w:numPr>
          <w:ilvl w:val="0"/>
          <w:numId w:val="10"/>
        </w:numPr>
      </w:pPr>
      <w:r>
        <w:t>账号与权限；</w:t>
      </w:r>
    </w:p>
    <w:p>
      <w:pPr>
        <w:pStyle w:val="ListBullet"/>
        <w:numPr>
          <w:ilvl w:val="0"/>
          <w:numId w:val="10"/>
        </w:numPr>
      </w:pPr>
      <w:r>
        <w:t>数据分类分级；</w:t>
      </w:r>
    </w:p>
    <w:p>
      <w:pPr>
        <w:pStyle w:val="ListBullet"/>
        <w:numPr>
          <w:ilvl w:val="0"/>
          <w:numId w:val="10"/>
        </w:numPr>
      </w:pPr>
      <w:r>
        <w:t>密钥与密码；</w:t>
      </w:r>
    </w:p>
    <w:p>
      <w:pPr>
        <w:pStyle w:val="ListBullet"/>
        <w:numPr>
          <w:ilvl w:val="0"/>
          <w:numId w:val="10"/>
        </w:numPr>
      </w:pPr>
      <w:r>
        <w:t>研发安全；</w:t>
      </w:r>
    </w:p>
    <w:p>
      <w:pPr>
        <w:pStyle w:val="ListBullet"/>
        <w:numPr>
          <w:ilvl w:val="0"/>
          <w:numId w:val="10"/>
        </w:numPr>
      </w:pPr>
      <w:r>
        <w:t>变更与发布；</w:t>
      </w:r>
    </w:p>
    <w:p>
      <w:pPr>
        <w:pStyle w:val="ListBullet"/>
        <w:numPr>
          <w:ilvl w:val="0"/>
          <w:numId w:val="10"/>
        </w:numPr>
      </w:pPr>
      <w:r>
        <w:t>漏洞与补丁；</w:t>
      </w:r>
    </w:p>
    <w:p>
      <w:pPr>
        <w:pStyle w:val="ListBullet"/>
        <w:numPr>
          <w:ilvl w:val="0"/>
          <w:numId w:val="10"/>
        </w:numPr>
      </w:pPr>
      <w:r>
        <w:t>日志与审计；</w:t>
      </w:r>
    </w:p>
    <w:p>
      <w:pPr>
        <w:pStyle w:val="ListBullet"/>
        <w:numPr>
          <w:ilvl w:val="0"/>
          <w:numId w:val="10"/>
        </w:numPr>
      </w:pPr>
      <w:r>
        <w:t>备份与恢复；</w:t>
      </w:r>
    </w:p>
    <w:p>
      <w:pPr>
        <w:pStyle w:val="ListBullet"/>
        <w:numPr>
          <w:ilvl w:val="0"/>
          <w:numId w:val="10"/>
        </w:numPr>
      </w:pPr>
      <w:r>
        <w:t>事件响应；</w:t>
      </w:r>
    </w:p>
    <w:p>
      <w:pPr>
        <w:pStyle w:val="ListBullet"/>
        <w:numPr>
          <w:ilvl w:val="0"/>
          <w:numId w:val="10"/>
        </w:numPr>
      </w:pPr>
      <w:r>
        <w:t>供应商与外包；</w:t>
      </w:r>
    </w:p>
    <w:p>
      <w:pPr>
        <w:pStyle w:val="ListBullet"/>
        <w:numPr>
          <w:ilvl w:val="0"/>
          <w:numId w:val="10"/>
        </w:numPr>
      </w:pPr>
      <w:r>
        <w:t>个人信息保护；</w:t>
      </w:r>
    </w:p>
    <w:p>
      <w:pPr>
        <w:pStyle w:val="ListBullet"/>
        <w:numPr>
          <w:ilvl w:val="0"/>
          <w:numId w:val="10"/>
        </w:numPr>
      </w:pPr>
      <w:r>
        <w:t>移动介质和终端；</w:t>
      </w:r>
    </w:p>
    <w:p>
      <w:pPr>
        <w:pStyle w:val="ListBullet"/>
        <w:numPr>
          <w:ilvl w:val="0"/>
          <w:numId w:val="10"/>
        </w:numPr>
      </w:pPr>
      <w:r>
        <w:t>业务连续性；</w:t>
      </w:r>
    </w:p>
    <w:p>
      <w:pPr>
        <w:pStyle w:val="ListBullet"/>
        <w:numPr>
          <w:ilvl w:val="0"/>
          <w:numId w:val="10"/>
        </w:numPr>
      </w:pPr>
      <w:r>
        <w:t>离职与职责变更。</w:t>
      </w:r>
    </w:p>
    <w:p>
      <w:r>
        <w:t>制度必须有版本、批准人、适用范围、培训、例外和年度复审。</w:t>
      </w:r>
    </w:p>
    <w:p>
      <w:pPr>
        <w:pStyle w:val="Heading2"/>
      </w:pPr>
      <w:r>
        <w:t>1.3 风险接受</w:t>
      </w:r>
    </w:p>
    <w:p>
      <w:pPr>
        <w:pStyle w:val="ListBullet"/>
        <w:numPr>
          <w:ilvl w:val="0"/>
          <w:numId w:val="10"/>
        </w:numPr>
      </w:pPr>
      <w:r>
        <w:t>P0/P1 风险不能由开发人员自行接受。</w:t>
      </w:r>
    </w:p>
    <w:p>
      <w:pPr>
        <w:pStyle w:val="ListBullet"/>
        <w:numPr>
          <w:ilvl w:val="0"/>
          <w:numId w:val="10"/>
        </w:numPr>
      </w:pPr>
      <w:r>
        <w:t>风险接受写明资产、威胁、影响、补偿控制、负责人和到期日。</w:t>
      </w:r>
    </w:p>
    <w:p>
      <w:pPr>
        <w:pStyle w:val="ListBullet"/>
        <w:numPr>
          <w:ilvl w:val="0"/>
          <w:numId w:val="10"/>
        </w:numPr>
      </w:pPr>
      <w:r>
        <w:t>高风险个人信息、资金、跨租户和灾备缺口由管理层批准。</w:t>
      </w:r>
    </w:p>
    <w:p>
      <w:pPr>
        <w:pStyle w:val="ListBullet"/>
        <w:numPr>
          <w:ilvl w:val="0"/>
          <w:numId w:val="10"/>
        </w:numPr>
      </w:pPr>
      <w:r>
        <w:t>到期自动重新评审。</w:t>
      </w:r>
    </w:p>
    <w:p>
      <w:pPr>
        <w:pStyle w:val="ListBullet"/>
        <w:numPr>
          <w:ilvl w:val="0"/>
          <w:numId w:val="10"/>
        </w:numPr>
      </w:pPr>
      <w:r>
        <w:t>合规强制项不能用风险接受替代。</w:t>
      </w:r>
    </w:p>
    <w:p>
      <w:pPr>
        <w:pStyle w:val="Heading1"/>
      </w:pPr>
      <w:r>
        <w:t>二、等保实施路线</w:t>
      </w:r>
    </w:p>
    <w:p>
      <w:pPr>
        <w:pStyle w:val="Heading2"/>
      </w:pPr>
      <w:r>
        <w:t>2.1 建议定级</w:t>
      </w:r>
    </w:p>
    <w:p>
      <w:r>
        <w:t>建议把“连接器型商业收银经营平台生产系统”作为一个候选定级对象评估，商业 V1 按第二级基线建设。以下情况需重点评估第三级：</w:t>
      </w:r>
    </w:p>
    <w:p>
      <w:pPr>
        <w:pStyle w:val="ListBullet"/>
        <w:numPr>
          <w:ilvl w:val="0"/>
          <w:numId w:val="10"/>
        </w:numPr>
      </w:pPr>
      <w:r>
        <w:t>服务大量跨区域门店并造成较大社会影响；</w:t>
      </w:r>
    </w:p>
    <w:p>
      <w:pPr>
        <w:pStyle w:val="ListBullet"/>
        <w:numPr>
          <w:ilvl w:val="0"/>
          <w:numId w:val="10"/>
        </w:numPr>
      </w:pPr>
      <w:r>
        <w:t>承载重要数据或被行业主管部门认定重要系统；</w:t>
      </w:r>
    </w:p>
    <w:p>
      <w:pPr>
        <w:pStyle w:val="ListBullet"/>
        <w:numPr>
          <w:ilvl w:val="0"/>
          <w:numId w:val="10"/>
        </w:numPr>
      </w:pPr>
      <w:r>
        <w:t>进入大型集团、政府、国企或关基供应链；</w:t>
      </w:r>
    </w:p>
    <w:p>
      <w:pPr>
        <w:pStyle w:val="ListBullet"/>
        <w:numPr>
          <w:ilvl w:val="0"/>
          <w:numId w:val="10"/>
        </w:numPr>
      </w:pPr>
      <w:r>
        <w:t>业务中断对公共利益或经济运行影响显著；</w:t>
      </w:r>
    </w:p>
    <w:p>
      <w:pPr>
        <w:pStyle w:val="ListBullet"/>
        <w:numPr>
          <w:ilvl w:val="0"/>
          <w:numId w:val="10"/>
        </w:numPr>
      </w:pPr>
      <w:r>
        <w:t>客户合同明确要求三级。</w:t>
      </w:r>
    </w:p>
    <w:p>
      <w:r>
        <w:t>最终定级应结合业务影响分析、系统边界、主管部门意见和专业机构建议。</w:t>
      </w:r>
    </w:p>
    <w:p>
      <w:pPr>
        <w:pStyle w:val="Heading2"/>
      </w:pPr>
      <w:r>
        <w:t>2.2 工作阶段</w:t>
      </w:r>
    </w:p>
    <w:p>
      <w:pPr>
        <w:pStyle w:val="ListNumber"/>
        <w:numPr>
          <w:ilvl w:val="0"/>
          <w:numId w:val="11"/>
        </w:numPr>
      </w:pPr>
      <w:r>
        <w:t>定级对象边界梳理。</w:t>
      </w:r>
    </w:p>
    <w:p>
      <w:pPr>
        <w:pStyle w:val="ListNumber"/>
        <w:numPr>
          <w:ilvl w:val="0"/>
          <w:numId w:val="11"/>
        </w:numPr>
      </w:pPr>
      <w:r>
        <w:t>专家评审/主管部门确认。</w:t>
      </w:r>
    </w:p>
    <w:p>
      <w:pPr>
        <w:pStyle w:val="ListNumber"/>
        <w:numPr>
          <w:ilvl w:val="0"/>
          <w:numId w:val="11"/>
        </w:numPr>
      </w:pPr>
      <w:r>
        <w:t>公安机关备案。</w:t>
      </w:r>
    </w:p>
    <w:p>
      <w:pPr>
        <w:pStyle w:val="ListNumber"/>
        <w:numPr>
          <w:ilvl w:val="0"/>
          <w:numId w:val="11"/>
        </w:numPr>
      </w:pPr>
      <w:r>
        <w:t>差距分析。</w:t>
      </w:r>
    </w:p>
    <w:p>
      <w:pPr>
        <w:pStyle w:val="ListNumber"/>
        <w:numPr>
          <w:ilvl w:val="0"/>
          <w:numId w:val="11"/>
        </w:numPr>
      </w:pPr>
      <w:r>
        <w:t>安全建设整改。</w:t>
      </w:r>
    </w:p>
    <w:p>
      <w:pPr>
        <w:pStyle w:val="ListNumber"/>
        <w:numPr>
          <w:ilvl w:val="0"/>
          <w:numId w:val="11"/>
        </w:numPr>
      </w:pPr>
      <w:r>
        <w:t>等保测评。</w:t>
      </w:r>
    </w:p>
    <w:p>
      <w:pPr>
        <w:pStyle w:val="ListNumber"/>
        <w:numPr>
          <w:ilvl w:val="0"/>
          <w:numId w:val="11"/>
        </w:numPr>
      </w:pPr>
      <w:r>
        <w:t>问题整改和复核。</w:t>
      </w:r>
    </w:p>
    <w:p>
      <w:pPr>
        <w:pStyle w:val="ListNumber"/>
        <w:numPr>
          <w:ilvl w:val="0"/>
          <w:numId w:val="11"/>
        </w:numPr>
      </w:pPr>
      <w:r>
        <w:t>持续监测、年度复审/按要求测评。</w:t>
      </w:r>
    </w:p>
    <w:p>
      <w:pPr>
        <w:pStyle w:val="ListNumber"/>
        <w:numPr>
          <w:ilvl w:val="0"/>
          <w:numId w:val="11"/>
        </w:numPr>
      </w:pPr>
      <w:r>
        <w:t>重大变更重新评估。</w:t>
      </w:r>
    </w:p>
    <w:p>
      <w:pPr>
        <w:pStyle w:val="Heading2"/>
      </w:pPr>
      <w:r>
        <w:t>2.3 对象边界</w:t>
      </w:r>
    </w:p>
    <w:p>
      <w:r>
        <w:t>纳入候选边界：</w:t>
      </w:r>
    </w:p>
    <w:p>
      <w:pPr>
        <w:pStyle w:val="ListBullet"/>
        <w:numPr>
          <w:ilvl w:val="0"/>
          <w:numId w:val="10"/>
        </w:numPr>
      </w:pPr>
      <w:r>
        <w:t>API Gateway/WAF；</w:t>
      </w:r>
    </w:p>
    <w:p>
      <w:pPr>
        <w:pStyle w:val="ListBullet"/>
        <w:numPr>
          <w:ilvl w:val="0"/>
          <w:numId w:val="10"/>
        </w:numPr>
      </w:pPr>
      <w:r>
        <w:t>RuoYi-Vue-Plus SaaS 管理与业务服务；</w:t>
      </w:r>
    </w:p>
    <w:p>
      <w:pPr>
        <w:pStyle w:val="ListBullet"/>
        <w:numPr>
          <w:ilvl w:val="0"/>
          <w:numId w:val="10"/>
        </w:numPr>
      </w:pPr>
      <w:r>
        <w:t>开放平台、连接器 Gateway/Runtime；</w:t>
      </w:r>
    </w:p>
    <w:p>
      <w:pPr>
        <w:pStyle w:val="ListBullet"/>
        <w:numPr>
          <w:ilvl w:val="0"/>
          <w:numId w:val="10"/>
        </w:numPr>
      </w:pPr>
      <w:r>
        <w:t>MySQL、Redis、MQ/任务、对象存储；</w:t>
      </w:r>
    </w:p>
    <w:p>
      <w:pPr>
        <w:pStyle w:val="ListBullet"/>
        <w:numPr>
          <w:ilvl w:val="0"/>
          <w:numId w:val="10"/>
        </w:numPr>
      </w:pPr>
      <w:r>
        <w:t>身份、密钥、日志、监控；</w:t>
      </w:r>
    </w:p>
    <w:p>
      <w:pPr>
        <w:pStyle w:val="ListBullet"/>
        <w:numPr>
          <w:ilvl w:val="0"/>
          <w:numId w:val="10"/>
        </w:numPr>
      </w:pPr>
      <w:r>
        <w:t>CI/CD 生产发布链；</w:t>
      </w:r>
    </w:p>
    <w:p>
      <w:pPr>
        <w:pStyle w:val="ListBullet"/>
        <w:numPr>
          <w:ilvl w:val="0"/>
          <w:numId w:val="10"/>
        </w:numPr>
      </w:pPr>
      <w:r>
        <w:t>生产运维入口；</w:t>
      </w:r>
    </w:p>
    <w:p>
      <w:pPr>
        <w:pStyle w:val="ListBullet"/>
        <w:numPr>
          <w:ilvl w:val="0"/>
          <w:numId w:val="10"/>
        </w:numPr>
      </w:pPr>
      <w:r>
        <w:t>POS 设备管理和同步云端。</w:t>
      </w:r>
    </w:p>
    <w:p>
      <w:r>
        <w:t>Android POS 是外部/边缘终端，但其身份、证书、离线数据和同步协议属于整体安全控制。</w:t>
      </w:r>
    </w:p>
    <w:p>
      <w:pPr>
        <w:pStyle w:val="Heading2"/>
      </w:pPr>
      <w:r>
        <w:t>2.4 控制域</w:t>
      </w:r>
    </w:p>
    <w:p>
      <w:r>
        <w:t>对照等保技术与管理要求至少覆盖：</w:t>
      </w:r>
    </w:p>
    <w:p>
      <w:pPr>
        <w:pStyle w:val="ListBullet"/>
        <w:numPr>
          <w:ilvl w:val="0"/>
          <w:numId w:val="10"/>
        </w:numPr>
      </w:pPr>
      <w:r>
        <w:t>安全物理环境；</w:t>
      </w:r>
    </w:p>
    <w:p>
      <w:pPr>
        <w:pStyle w:val="ListBullet"/>
        <w:numPr>
          <w:ilvl w:val="0"/>
          <w:numId w:val="10"/>
        </w:numPr>
      </w:pPr>
      <w:r>
        <w:t>安全通信网络；</w:t>
      </w:r>
    </w:p>
    <w:p>
      <w:pPr>
        <w:pStyle w:val="ListBullet"/>
        <w:numPr>
          <w:ilvl w:val="0"/>
          <w:numId w:val="10"/>
        </w:numPr>
      </w:pPr>
      <w:r>
        <w:t>安全区域边界；</w:t>
      </w:r>
    </w:p>
    <w:p>
      <w:pPr>
        <w:pStyle w:val="ListBullet"/>
        <w:numPr>
          <w:ilvl w:val="0"/>
          <w:numId w:val="10"/>
        </w:numPr>
      </w:pPr>
      <w:r>
        <w:t>安全计算环境；</w:t>
      </w:r>
    </w:p>
    <w:p>
      <w:pPr>
        <w:pStyle w:val="ListBullet"/>
        <w:numPr>
          <w:ilvl w:val="0"/>
          <w:numId w:val="10"/>
        </w:numPr>
      </w:pPr>
      <w:r>
        <w:t>安全管理中心；</w:t>
      </w:r>
    </w:p>
    <w:p>
      <w:pPr>
        <w:pStyle w:val="ListBullet"/>
        <w:numPr>
          <w:ilvl w:val="0"/>
          <w:numId w:val="10"/>
        </w:numPr>
      </w:pPr>
      <w:r>
        <w:t>安全管理制度；</w:t>
      </w:r>
    </w:p>
    <w:p>
      <w:pPr>
        <w:pStyle w:val="ListBullet"/>
        <w:numPr>
          <w:ilvl w:val="0"/>
          <w:numId w:val="10"/>
        </w:numPr>
      </w:pPr>
      <w:r>
        <w:t>安全管理机构；</w:t>
      </w:r>
    </w:p>
    <w:p>
      <w:pPr>
        <w:pStyle w:val="ListBullet"/>
        <w:numPr>
          <w:ilvl w:val="0"/>
          <w:numId w:val="10"/>
        </w:numPr>
      </w:pPr>
      <w:r>
        <w:t>安全管理人员；</w:t>
      </w:r>
    </w:p>
    <w:p>
      <w:pPr>
        <w:pStyle w:val="ListBullet"/>
        <w:numPr>
          <w:ilvl w:val="0"/>
          <w:numId w:val="10"/>
        </w:numPr>
      </w:pPr>
      <w:r>
        <w:t>安全建设管理；</w:t>
      </w:r>
    </w:p>
    <w:p>
      <w:pPr>
        <w:pStyle w:val="ListBullet"/>
        <w:numPr>
          <w:ilvl w:val="0"/>
          <w:numId w:val="10"/>
        </w:numPr>
      </w:pPr>
      <w:r>
        <w:t>安全运维管理；</w:t>
      </w:r>
    </w:p>
    <w:p>
      <w:pPr>
        <w:pStyle w:val="ListBullet"/>
        <w:numPr>
          <w:ilvl w:val="0"/>
          <w:numId w:val="10"/>
        </w:numPr>
      </w:pPr>
      <w:r>
        <w:t>云计算、移动互联等适用扩展。</w:t>
      </w:r>
    </w:p>
    <w:p>
      <w:pPr>
        <w:pStyle w:val="Heading2"/>
      </w:pPr>
      <w:r>
        <w:t>2.5 证据</w:t>
      </w:r>
    </w:p>
    <w:p>
      <w:pPr>
        <w:pStyle w:val="ListBullet"/>
        <w:numPr>
          <w:ilvl w:val="0"/>
          <w:numId w:val="10"/>
        </w:numPr>
      </w:pPr>
      <w:r>
        <w:t>网络与数据流图；</w:t>
      </w:r>
    </w:p>
    <w:p>
      <w:pPr>
        <w:pStyle w:val="ListBullet"/>
        <w:numPr>
          <w:ilvl w:val="0"/>
          <w:numId w:val="10"/>
        </w:numPr>
      </w:pPr>
      <w:r>
        <w:t>资产和账号清单；</w:t>
      </w:r>
    </w:p>
    <w:p>
      <w:pPr>
        <w:pStyle w:val="ListBullet"/>
        <w:numPr>
          <w:ilvl w:val="0"/>
          <w:numId w:val="10"/>
        </w:numPr>
      </w:pPr>
      <w:r>
        <w:t>安全策略/配置导出；</w:t>
      </w:r>
    </w:p>
    <w:p>
      <w:pPr>
        <w:pStyle w:val="ListBullet"/>
        <w:numPr>
          <w:ilvl w:val="0"/>
          <w:numId w:val="10"/>
        </w:numPr>
      </w:pPr>
      <w:r>
        <w:t>漏洞、基线和渗透报告；</w:t>
      </w:r>
    </w:p>
    <w:p>
      <w:pPr>
        <w:pStyle w:val="ListBullet"/>
        <w:numPr>
          <w:ilvl w:val="0"/>
          <w:numId w:val="10"/>
        </w:numPr>
      </w:pPr>
      <w:r>
        <w:t>日志和告警样例；</w:t>
      </w:r>
    </w:p>
    <w:p>
      <w:pPr>
        <w:pStyle w:val="ListBullet"/>
        <w:numPr>
          <w:ilvl w:val="0"/>
          <w:numId w:val="10"/>
        </w:numPr>
      </w:pPr>
      <w:r>
        <w:t>权限复核；</w:t>
      </w:r>
    </w:p>
    <w:p>
      <w:pPr>
        <w:pStyle w:val="ListBullet"/>
        <w:numPr>
          <w:ilvl w:val="0"/>
          <w:numId w:val="10"/>
        </w:numPr>
      </w:pPr>
      <w:r>
        <w:t>备份恢复记录；</w:t>
      </w:r>
    </w:p>
    <w:p>
      <w:pPr>
        <w:pStyle w:val="ListBullet"/>
        <w:numPr>
          <w:ilvl w:val="0"/>
          <w:numId w:val="10"/>
        </w:numPr>
      </w:pPr>
      <w:r>
        <w:t>应急演练；</w:t>
      </w:r>
    </w:p>
    <w:p>
      <w:pPr>
        <w:pStyle w:val="ListBullet"/>
        <w:numPr>
          <w:ilvl w:val="0"/>
          <w:numId w:val="10"/>
        </w:numPr>
      </w:pPr>
      <w:r>
        <w:t>供应商协议；</w:t>
      </w:r>
    </w:p>
    <w:p>
      <w:pPr>
        <w:pStyle w:val="ListBullet"/>
        <w:numPr>
          <w:ilvl w:val="0"/>
          <w:numId w:val="10"/>
        </w:numPr>
      </w:pPr>
      <w:r>
        <w:t>培训和人员流程；</w:t>
      </w:r>
    </w:p>
    <w:p>
      <w:pPr>
        <w:pStyle w:val="ListBullet"/>
        <w:numPr>
          <w:ilvl w:val="0"/>
          <w:numId w:val="10"/>
        </w:numPr>
      </w:pPr>
      <w:r>
        <w:t>整改闭环。</w:t>
      </w:r>
    </w:p>
    <w:p>
      <w:pPr>
        <w:pStyle w:val="Heading1"/>
      </w:pPr>
      <w:r>
        <w:t>三、资产与数据分类</w:t>
      </w:r>
    </w:p>
    <w:p>
      <w:pPr>
        <w:pStyle w:val="Heading2"/>
      </w:pPr>
      <w:r>
        <w:t>3.1 资产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72"/>
        <w:gridCol w:w="7488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类别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业务资产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订单、支付、退款、库存、促销、会员、结算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技术资产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服务、数据库、缓存、队列、对象存储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身份资产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用户、设备、开放应用、连接器实例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密钥资产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TLS、JWT、Webhook、包签名、支付凭证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终端资产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Android POS、Edge Agent、打印机、电子秤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供应商资产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云、支付、短信、CDN、监控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文档资产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架构、Runbook、审计、合同、备份清单</w:t>
            </w:r>
          </w:p>
        </w:tc>
      </w:tr>
    </w:tbl>
    <w:p>
      <w:pPr>
        <w:spacing w:before="0" w:after="40"/>
      </w:pPr>
    </w:p>
    <w:p>
      <w:r>
        <w:t>每个资产有 owner、环境、位置、分类、RTO/RPO、暴露面和生命周期。</w:t>
      </w:r>
    </w:p>
    <w:p>
      <w:pPr>
        <w:pStyle w:val="Heading2"/>
      </w:pPr>
      <w:r>
        <w:t>3.2 数据分级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31"/>
        <w:gridCol w:w="3196"/>
        <w:gridCol w:w="4133"/>
      </w:tblGrid>
      <w:tr>
        <w:trPr>
          <w:cantSplit/>
          <w:tblHeader w:val="true"/>
        </w:trPr>
        <w:tc>
          <w:tcPr>
            <w:tcW w:type="dxa" w:w="2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级别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示例</w:t>
            </w:r>
          </w:p>
        </w:tc>
        <w:tc>
          <w:tcPr>
            <w:tcW w:type="dxa" w:w="4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控制</w:t>
            </w:r>
          </w:p>
        </w:tc>
      </w:tr>
      <w:tr>
        <w:trPr>
          <w:cantSplit/>
        </w:trPr>
        <w:tc>
          <w:tcPr>
            <w:tcW w:type="dxa" w:w="2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L1 公开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公开商品宣传信息</w:t>
            </w:r>
          </w:p>
        </w:tc>
        <w:tc>
          <w:tcPr>
            <w:tcW w:type="dxa" w:w="4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完整性和发布控制</w:t>
            </w:r>
          </w:p>
        </w:tc>
      </w:tr>
      <w:tr>
        <w:trPr>
          <w:cantSplit/>
        </w:trPr>
        <w:tc>
          <w:tcPr>
            <w:tcW w:type="dxa" w:w="2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L2 内部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普通配置、非敏经营汇总</w:t>
            </w:r>
          </w:p>
        </w:tc>
        <w:tc>
          <w:tcPr>
            <w:tcW w:type="dxa" w:w="4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员工授权、日志</w:t>
            </w:r>
          </w:p>
        </w:tc>
      </w:tr>
      <w:tr>
        <w:trPr>
          <w:cantSplit/>
        </w:trPr>
        <w:tc>
          <w:tcPr>
            <w:tcW w:type="dxa" w:w="2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L3 敏感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订单、库存、价格策略、供应商往来</w:t>
            </w:r>
          </w:p>
        </w:tc>
        <w:tc>
          <w:tcPr>
            <w:tcW w:type="dxa" w:w="4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加密、严格数据范围、审计</w:t>
            </w:r>
          </w:p>
        </w:tc>
      </w:tr>
      <w:tr>
        <w:trPr>
          <w:cantSplit/>
        </w:trPr>
        <w:tc>
          <w:tcPr>
            <w:tcW w:type="dxa" w:w="2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L4 高敏/受限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个人敏感信息、支付密钥、储值、重要安全配置</w:t>
            </w:r>
          </w:p>
        </w:tc>
        <w:tc>
          <w:tcPr>
            <w:tcW w:type="dxa" w:w="4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强认证、双人控制、字段加密、严禁导出</w:t>
            </w:r>
          </w:p>
        </w:tc>
      </w:tr>
    </w:tbl>
    <w:p>
      <w:pPr>
        <w:spacing w:before="0" w:after="40"/>
      </w:pPr>
    </w:p>
    <w:p>
      <w:r>
        <w:t>重要数据/核心数据的识别必须结合国家和行业目录，不能仅以内部 L1—L4 替代法定分类。</w:t>
      </w:r>
    </w:p>
    <w:p>
      <w:pPr>
        <w:pStyle w:val="Heading2"/>
      </w:pPr>
      <w:r>
        <w:t>3.3 个人信息目录</w:t>
      </w:r>
    </w:p>
    <w:p>
      <w:r>
        <w:t>至少登记：</w:t>
      </w:r>
    </w:p>
    <w:p>
      <w:pPr>
        <w:pStyle w:val="ListBullet"/>
        <w:numPr>
          <w:ilvl w:val="0"/>
          <w:numId w:val="10"/>
        </w:numPr>
      </w:pPr>
      <w:r>
        <w:t>顾客姓名/昵称；</w:t>
      </w:r>
    </w:p>
    <w:p>
      <w:pPr>
        <w:pStyle w:val="ListBullet"/>
        <w:numPr>
          <w:ilvl w:val="0"/>
          <w:numId w:val="10"/>
        </w:numPr>
      </w:pPr>
      <w:r>
        <w:t>手机号/虚拟号；</w:t>
      </w:r>
    </w:p>
    <w:p>
      <w:pPr>
        <w:pStyle w:val="ListBullet"/>
        <w:numPr>
          <w:ilvl w:val="0"/>
          <w:numId w:val="10"/>
        </w:numPr>
      </w:pPr>
      <w:r>
        <w:t>配送地址和定位；</w:t>
      </w:r>
    </w:p>
    <w:p>
      <w:pPr>
        <w:pStyle w:val="ListBullet"/>
        <w:numPr>
          <w:ilvl w:val="0"/>
          <w:numId w:val="10"/>
        </w:numPr>
      </w:pPr>
      <w:r>
        <w:t>会员 ID、生日、标签、消费记录；</w:t>
      </w:r>
    </w:p>
    <w:p>
      <w:pPr>
        <w:pStyle w:val="ListBullet"/>
        <w:numPr>
          <w:ilvl w:val="0"/>
          <w:numId w:val="10"/>
        </w:numPr>
      </w:pPr>
      <w:r>
        <w:t>员工身份、排班、操作记录；</w:t>
      </w:r>
    </w:p>
    <w:p>
      <w:pPr>
        <w:pStyle w:val="ListBullet"/>
        <w:numPr>
          <w:ilvl w:val="0"/>
          <w:numId w:val="10"/>
        </w:numPr>
      </w:pPr>
      <w:r>
        <w:t>设备 IP、标识和日志；</w:t>
      </w:r>
    </w:p>
    <w:p>
      <w:pPr>
        <w:pStyle w:val="ListBullet"/>
        <w:numPr>
          <w:ilvl w:val="0"/>
          <w:numId w:val="10"/>
        </w:numPr>
      </w:pPr>
      <w:r>
        <w:t>发票抬头与税号中的个人信息；</w:t>
      </w:r>
    </w:p>
    <w:p>
      <w:pPr>
        <w:pStyle w:val="ListBullet"/>
        <w:numPr>
          <w:ilvl w:val="0"/>
          <w:numId w:val="10"/>
        </w:numPr>
      </w:pPr>
      <w:r>
        <w:t>售后证据；</w:t>
      </w:r>
    </w:p>
    <w:p>
      <w:pPr>
        <w:pStyle w:val="ListBullet"/>
        <w:numPr>
          <w:ilvl w:val="0"/>
          <w:numId w:val="10"/>
        </w:numPr>
      </w:pPr>
      <w:r>
        <w:t>风险画像。</w:t>
      </w:r>
    </w:p>
    <w:p>
      <w:r>
        <w:t>每项登记处理目的、法律基础、来源、字段、共享方、保留期、存储地、访问角色和删除方式。</w:t>
      </w:r>
    </w:p>
    <w:p>
      <w:pPr>
        <w:pStyle w:val="Heading1"/>
      </w:pPr>
      <w:r>
        <w:t>四、多租户安全</w:t>
      </w:r>
    </w:p>
    <w:p>
      <w:pPr>
        <w:pStyle w:val="Heading2"/>
      </w:pPr>
      <w:r>
        <w:t>4.1 tenant_id</w:t>
      </w:r>
    </w:p>
    <w:p>
      <w:pPr>
        <w:pStyle w:val="ListBullet"/>
        <w:numPr>
          <w:ilvl w:val="0"/>
          <w:numId w:val="10"/>
        </w:numPr>
      </w:pPr>
      <w:r>
        <w:t>tenant_id 为 VARCHAR(20)，由认证上下文注入。</w:t>
      </w:r>
    </w:p>
    <w:p>
      <w:pPr>
        <w:pStyle w:val="ListBullet"/>
        <w:numPr>
          <w:ilvl w:val="0"/>
          <w:numId w:val="10"/>
        </w:numPr>
      </w:pPr>
      <w:r>
        <w:t>订单、支付、退款、设备、命令和事件等领域标识使用 ULID，避免终端离线申请主键并保持全链路可追踪。</w:t>
      </w:r>
    </w:p>
    <w:p>
      <w:pPr>
        <w:pStyle w:val="ListBullet"/>
        <w:numPr>
          <w:ilvl w:val="0"/>
          <w:numId w:val="10"/>
        </w:numPr>
      </w:pPr>
      <w:r>
        <w:t>客户端 tenant_id 只作一致性校验。</w:t>
      </w:r>
    </w:p>
    <w:p>
      <w:pPr>
        <w:pStyle w:val="ListBullet"/>
        <w:numPr>
          <w:ilvl w:val="0"/>
          <w:numId w:val="10"/>
        </w:numPr>
      </w:pPr>
      <w:r>
        <w:t>所有租户业务表包含 tenant_id。</w:t>
      </w:r>
    </w:p>
    <w:p>
      <w:pPr>
        <w:pStyle w:val="ListBullet"/>
        <w:numPr>
          <w:ilvl w:val="0"/>
          <w:numId w:val="10"/>
        </w:numPr>
      </w:pPr>
      <w:r>
        <w:t>唯一索引、查询、缓存、Outbox/Inbox、对象路径包含租户范围。</w:t>
      </w:r>
    </w:p>
    <w:p>
      <w:pPr>
        <w:pStyle w:val="ListBullet"/>
        <w:numPr>
          <w:ilvl w:val="0"/>
          <w:numId w:val="10"/>
        </w:numPr>
      </w:pPr>
      <w:r>
        <w:t>平台级表和租户级表明确区分。</w:t>
      </w:r>
    </w:p>
    <w:p>
      <w:pPr>
        <w:pStyle w:val="Heading2"/>
      </w:pPr>
      <w:r>
        <w:t>4.2 防越权</w:t>
      </w:r>
    </w:p>
    <w:p>
      <w:pPr>
        <w:pStyle w:val="ListBullet"/>
        <w:numPr>
          <w:ilvl w:val="0"/>
          <w:numId w:val="10"/>
        </w:numPr>
      </w:pPr>
      <w:r>
        <w:t>Repository 默认租户拦截。</w:t>
      </w:r>
    </w:p>
    <w:p>
      <w:pPr>
        <w:pStyle w:val="ListBullet"/>
        <w:numPr>
          <w:ilvl w:val="0"/>
          <w:numId w:val="10"/>
        </w:numPr>
      </w:pPr>
      <w:r>
        <w:t>关键查询同时校验数据范围。</w:t>
      </w:r>
    </w:p>
    <w:p>
      <w:pPr>
        <w:pStyle w:val="ListBullet"/>
        <w:numPr>
          <w:ilvl w:val="0"/>
          <w:numId w:val="10"/>
        </w:numPr>
      </w:pPr>
      <w:r>
        <w:t>禁止拼接 SQL 绕过插件。</w:t>
      </w:r>
    </w:p>
    <w:p>
      <w:pPr>
        <w:pStyle w:val="ListBullet"/>
        <w:numPr>
          <w:ilvl w:val="0"/>
          <w:numId w:val="10"/>
        </w:numPr>
      </w:pPr>
      <w:r>
        <w:t>异步线程显式传播不可伪造的 TenantContext。</w:t>
      </w:r>
    </w:p>
    <w:p>
      <w:pPr>
        <w:pStyle w:val="ListBullet"/>
        <w:numPr>
          <w:ilvl w:val="0"/>
          <w:numId w:val="10"/>
        </w:numPr>
      </w:pPr>
      <w:r>
        <w:t>定时任务分租户执行并清理上下文。</w:t>
      </w:r>
    </w:p>
    <w:p>
      <w:pPr>
        <w:pStyle w:val="ListBullet"/>
        <w:numPr>
          <w:ilvl w:val="0"/>
          <w:numId w:val="10"/>
        </w:numPr>
      </w:pPr>
      <w:r>
        <w:t>导入导出二次校验。</w:t>
      </w:r>
    </w:p>
    <w:p>
      <w:pPr>
        <w:pStyle w:val="ListBullet"/>
        <w:numPr>
          <w:ilvl w:val="0"/>
          <w:numId w:val="10"/>
        </w:numPr>
      </w:pPr>
      <w:r>
        <w:t>对象存储预签名 URL 绑定租户、对象和短时 TTL。</w:t>
      </w:r>
    </w:p>
    <w:p>
      <w:pPr>
        <w:pStyle w:val="ListBullet"/>
        <w:numPr>
          <w:ilvl w:val="0"/>
          <w:numId w:val="10"/>
        </w:numPr>
      </w:pPr>
      <w:r>
        <w:t>全局管理员使用独立身份、JIT 授权和完整审计。</w:t>
      </w:r>
    </w:p>
    <w:p>
      <w:pPr>
        <w:pStyle w:val="Heading2"/>
      </w:pPr>
      <w:r>
        <w:t>4.3 测试</w:t>
      </w:r>
    </w:p>
    <w:p>
      <w:pPr>
        <w:pStyle w:val="ListBullet"/>
        <w:numPr>
          <w:ilvl w:val="0"/>
          <w:numId w:val="10"/>
        </w:numPr>
      </w:pPr>
      <w:r>
        <w:t>每个开放/内部 API 有跨租户负向测试。</w:t>
      </w:r>
    </w:p>
    <w:p>
      <w:pPr>
        <w:pStyle w:val="ListBullet"/>
        <w:numPr>
          <w:ilvl w:val="0"/>
          <w:numId w:val="10"/>
        </w:numPr>
      </w:pPr>
      <w:r>
        <w:t>基于随机 tenant_id 的属性测试。</w:t>
      </w:r>
    </w:p>
    <w:p>
      <w:pPr>
        <w:pStyle w:val="ListBullet"/>
        <w:numPr>
          <w:ilvl w:val="0"/>
          <w:numId w:val="10"/>
        </w:numPr>
      </w:pPr>
      <w:r>
        <w:t>SQL 日志/静态规则检查缺失 tenant 条件。</w:t>
      </w:r>
    </w:p>
    <w:p>
      <w:pPr>
        <w:pStyle w:val="ListBullet"/>
        <w:numPr>
          <w:ilvl w:val="0"/>
          <w:numId w:val="10"/>
        </w:numPr>
      </w:pPr>
      <w:r>
        <w:t>缓存键冲突测试。</w:t>
      </w:r>
    </w:p>
    <w:p>
      <w:pPr>
        <w:pStyle w:val="ListBullet"/>
        <w:numPr>
          <w:ilvl w:val="0"/>
          <w:numId w:val="10"/>
        </w:numPr>
      </w:pPr>
      <w:r>
        <w:t>消息篡改 tenant_id 测试。</w:t>
      </w:r>
    </w:p>
    <w:p>
      <w:pPr>
        <w:pStyle w:val="ListBullet"/>
        <w:numPr>
          <w:ilvl w:val="0"/>
          <w:numId w:val="10"/>
        </w:numPr>
      </w:pPr>
      <w:r>
        <w:t>运维导出、备份恢复和数据迁移隔离测试。</w:t>
      </w:r>
    </w:p>
    <w:p>
      <w:r>
        <w:t>跨租户读写属于 P0。</w:t>
      </w:r>
    </w:p>
    <w:p>
      <w:pPr>
        <w:pStyle w:val="Heading1"/>
      </w:pPr>
      <w:r>
        <w:t>五、身份与访问</w:t>
      </w:r>
    </w:p>
    <w:p>
      <w:pPr>
        <w:pStyle w:val="Heading2"/>
      </w:pPr>
      <w:r>
        <w:t>5.1 身份</w:t>
      </w:r>
    </w:p>
    <w:p>
      <w:pPr>
        <w:pStyle w:val="ListBullet"/>
        <w:numPr>
          <w:ilvl w:val="0"/>
          <w:numId w:val="10"/>
        </w:numPr>
      </w:pPr>
      <w:r>
        <w:t>管理用户；</w:t>
      </w:r>
    </w:p>
    <w:p>
      <w:pPr>
        <w:pStyle w:val="ListBullet"/>
        <w:numPr>
          <w:ilvl w:val="0"/>
          <w:numId w:val="10"/>
        </w:numPr>
      </w:pPr>
      <w:r>
        <w:t>门店员工；</w:t>
      </w:r>
    </w:p>
    <w:p>
      <w:pPr>
        <w:pStyle w:val="ListBullet"/>
        <w:numPr>
          <w:ilvl w:val="0"/>
          <w:numId w:val="10"/>
        </w:numPr>
      </w:pPr>
      <w:r>
        <w:t>平台运维；</w:t>
      </w:r>
    </w:p>
    <w:p>
      <w:pPr>
        <w:pStyle w:val="ListBullet"/>
        <w:numPr>
          <w:ilvl w:val="0"/>
          <w:numId w:val="10"/>
        </w:numPr>
      </w:pPr>
      <w:r>
        <w:t>Android 设备；</w:t>
      </w:r>
    </w:p>
    <w:p>
      <w:pPr>
        <w:pStyle w:val="ListBullet"/>
        <w:numPr>
          <w:ilvl w:val="0"/>
          <w:numId w:val="10"/>
        </w:numPr>
      </w:pPr>
      <w:r>
        <w:t>开放应用；</w:t>
      </w:r>
    </w:p>
    <w:p>
      <w:pPr>
        <w:pStyle w:val="ListBullet"/>
        <w:numPr>
          <w:ilvl w:val="0"/>
          <w:numId w:val="10"/>
        </w:numPr>
      </w:pPr>
      <w:r>
        <w:t>连接器实例；</w:t>
      </w:r>
    </w:p>
    <w:p>
      <w:pPr>
        <w:pStyle w:val="ListBullet"/>
        <w:numPr>
          <w:ilvl w:val="0"/>
          <w:numId w:val="10"/>
        </w:numPr>
      </w:pPr>
      <w:r>
        <w:t>服务身份。</w:t>
      </w:r>
    </w:p>
    <w:p>
      <w:r>
        <w:t>不同主体使用不同 credential，不共享“超级 API Key”。</w:t>
      </w:r>
    </w:p>
    <w:p>
      <w:pPr>
        <w:pStyle w:val="Heading2"/>
      </w:pPr>
      <w:r>
        <w:t>5.2 认证</w:t>
      </w:r>
    </w:p>
    <w:p>
      <w:pPr>
        <w:pStyle w:val="ListBullet"/>
        <w:numPr>
          <w:ilvl w:val="0"/>
          <w:numId w:val="10"/>
        </w:numPr>
      </w:pPr>
      <w:r>
        <w:t>管理后台支持 MFA，平台管理员强制 MFA。</w:t>
      </w:r>
    </w:p>
    <w:p>
      <w:pPr>
        <w:pStyle w:val="ListBullet"/>
        <w:numPr>
          <w:ilvl w:val="0"/>
          <w:numId w:val="10"/>
        </w:numPr>
      </w:pPr>
      <w:r>
        <w:t>密码使用现代自适应哈希 Argon2id/bcrypt，参数可升级。</w:t>
      </w:r>
    </w:p>
    <w:p>
      <w:pPr>
        <w:pStyle w:val="ListBullet"/>
        <w:numPr>
          <w:ilvl w:val="0"/>
          <w:numId w:val="10"/>
        </w:numPr>
      </w:pPr>
      <w:r>
        <w:t>防撞库、限速、异常登录和会话撤销。</w:t>
      </w:r>
    </w:p>
    <w:p>
      <w:pPr>
        <w:pStyle w:val="ListBullet"/>
        <w:numPr>
          <w:ilvl w:val="0"/>
          <w:numId w:val="10"/>
        </w:numPr>
      </w:pPr>
      <w:r>
        <w:t>设备使用证书/密钥与短期 token。</w:t>
      </w:r>
    </w:p>
    <w:p>
      <w:pPr>
        <w:pStyle w:val="ListBullet"/>
        <w:numPr>
          <w:ilvl w:val="0"/>
          <w:numId w:val="10"/>
        </w:numPr>
      </w:pPr>
      <w:r>
        <w:t>服务间使用短期工作负载身份、mTLS 或签名 token。</w:t>
      </w:r>
    </w:p>
    <w:p>
      <w:pPr>
        <w:pStyle w:val="ListBullet"/>
        <w:numPr>
          <w:ilvl w:val="0"/>
          <w:numId w:val="10"/>
        </w:numPr>
      </w:pPr>
      <w:r>
        <w:t>开放平台按 POS-DD-038。</w:t>
      </w:r>
    </w:p>
    <w:p>
      <w:pPr>
        <w:pStyle w:val="ListBullet"/>
        <w:numPr>
          <w:ilvl w:val="0"/>
          <w:numId w:val="10"/>
        </w:numPr>
      </w:pPr>
      <w:r>
        <w:t>连接器密钥按 POS-DD-037。</w:t>
      </w:r>
    </w:p>
    <w:p>
      <w:pPr>
        <w:pStyle w:val="Heading2"/>
      </w:pPr>
      <w:r>
        <w:t>5.3 授权</w:t>
      </w:r>
    </w:p>
    <w:p>
      <w:r>
        <w:t>RBAC + data_scope + 业务守卫：</w:t>
      </w:r>
    </w:p>
    <w:p>
      <w:pPr>
        <w:pStyle w:val="ListBullet"/>
        <w:numPr>
          <w:ilvl w:val="0"/>
          <w:numId w:val="10"/>
        </w:numPr>
      </w:pPr>
      <w:r>
        <w:t>角色控制菜单/动作；</w:t>
      </w:r>
    </w:p>
    <w:p>
      <w:pPr>
        <w:pStyle w:val="ListBullet"/>
        <w:numPr>
          <w:ilvl w:val="0"/>
          <w:numId w:val="10"/>
        </w:numPr>
      </w:pPr>
      <w:r>
        <w:t>数据范围控制租户、组织、门店、仓；</w:t>
      </w:r>
    </w:p>
    <w:p>
      <w:pPr>
        <w:pStyle w:val="ListBullet"/>
        <w:numPr>
          <w:ilvl w:val="0"/>
          <w:numId w:val="10"/>
        </w:numPr>
      </w:pPr>
      <w:r>
        <w:t>业务守卫控制金额、状态、班次和职责分离；</w:t>
      </w:r>
    </w:p>
    <w:p>
      <w:pPr>
        <w:pStyle w:val="ListBullet"/>
        <w:numPr>
          <w:ilvl w:val="0"/>
          <w:numId w:val="10"/>
        </w:numPr>
      </w:pPr>
      <w:r>
        <w:t>字段级控制敏感信息；</w:t>
      </w:r>
    </w:p>
    <w:p>
      <w:pPr>
        <w:pStyle w:val="ListBullet"/>
        <w:numPr>
          <w:ilvl w:val="0"/>
          <w:numId w:val="10"/>
        </w:numPr>
      </w:pPr>
      <w:r>
        <w:t>条件访问控制设备、网络、风险和时间。</w:t>
      </w:r>
    </w:p>
    <w:p>
      <w:pPr>
        <w:pStyle w:val="Heading2"/>
      </w:pPr>
      <w:r>
        <w:t>5.4 高风险动作</w:t>
      </w:r>
    </w:p>
    <w:p>
      <w:pPr>
        <w:pStyle w:val="ListBullet"/>
        <w:numPr>
          <w:ilvl w:val="0"/>
          <w:numId w:val="10"/>
        </w:numPr>
      </w:pPr>
      <w:r>
        <w:t>退款；</w:t>
      </w:r>
    </w:p>
    <w:p>
      <w:pPr>
        <w:pStyle w:val="ListBullet"/>
        <w:numPr>
          <w:ilvl w:val="0"/>
          <w:numId w:val="10"/>
        </w:numPr>
      </w:pPr>
      <w:r>
        <w:t>无原单退货；</w:t>
      </w:r>
    </w:p>
    <w:p>
      <w:pPr>
        <w:pStyle w:val="ListBullet"/>
        <w:numPr>
          <w:ilvl w:val="0"/>
          <w:numId w:val="10"/>
        </w:numPr>
      </w:pPr>
      <w:r>
        <w:t>储值/积分调整；</w:t>
      </w:r>
    </w:p>
    <w:p>
      <w:pPr>
        <w:pStyle w:val="ListBullet"/>
        <w:numPr>
          <w:ilvl w:val="0"/>
          <w:numId w:val="10"/>
        </w:numPr>
      </w:pPr>
      <w:r>
        <w:t>手工库存/成本调整；</w:t>
      </w:r>
    </w:p>
    <w:p>
      <w:pPr>
        <w:pStyle w:val="ListBullet"/>
        <w:numPr>
          <w:ilvl w:val="0"/>
          <w:numId w:val="10"/>
        </w:numPr>
      </w:pPr>
      <w:r>
        <w:t>促销发布；</w:t>
      </w:r>
    </w:p>
    <w:p>
      <w:pPr>
        <w:pStyle w:val="ListBullet"/>
        <w:numPr>
          <w:ilvl w:val="0"/>
          <w:numId w:val="10"/>
        </w:numPr>
      </w:pPr>
      <w:r>
        <w:t>密钥查看/轮换；</w:t>
      </w:r>
    </w:p>
    <w:p>
      <w:pPr>
        <w:pStyle w:val="ListBullet"/>
        <w:numPr>
          <w:ilvl w:val="0"/>
          <w:numId w:val="10"/>
        </w:numPr>
      </w:pPr>
      <w:r>
        <w:t>批量导出；</w:t>
      </w:r>
    </w:p>
    <w:p>
      <w:pPr>
        <w:pStyle w:val="ListBullet"/>
        <w:numPr>
          <w:ilvl w:val="0"/>
          <w:numId w:val="10"/>
        </w:numPr>
      </w:pPr>
      <w:r>
        <w:t>跨租户运维；</w:t>
      </w:r>
    </w:p>
    <w:p>
      <w:pPr>
        <w:pStyle w:val="ListBullet"/>
        <w:numPr>
          <w:ilvl w:val="0"/>
          <w:numId w:val="10"/>
        </w:numPr>
      </w:pPr>
      <w:r>
        <w:t>备份恢复；</w:t>
      </w:r>
    </w:p>
    <w:p>
      <w:pPr>
        <w:pStyle w:val="ListBullet"/>
        <w:numPr>
          <w:ilvl w:val="0"/>
          <w:numId w:val="10"/>
        </w:numPr>
      </w:pPr>
      <w:r>
        <w:t>审计关闭。</w:t>
      </w:r>
    </w:p>
    <w:p>
      <w:r>
        <w:t>使用 MFA/step-up、审批、双人复核、原因、证据和不可变审计。</w:t>
      </w:r>
    </w:p>
    <w:p>
      <w:pPr>
        <w:pStyle w:val="Heading2"/>
      </w:pPr>
      <w:r>
        <w:t>5.5 权限生命周期</w:t>
      </w:r>
    </w:p>
    <w:p>
      <w:pPr>
        <w:pStyle w:val="ListBullet"/>
        <w:numPr>
          <w:ilvl w:val="0"/>
          <w:numId w:val="10"/>
        </w:numPr>
      </w:pPr>
      <w:r>
        <w:t>入职最小权限。</w:t>
      </w:r>
    </w:p>
    <w:p>
      <w:pPr>
        <w:pStyle w:val="ListBullet"/>
        <w:numPr>
          <w:ilvl w:val="0"/>
          <w:numId w:val="10"/>
        </w:numPr>
      </w:pPr>
      <w:r>
        <w:t>转岗当日复核。</w:t>
      </w:r>
    </w:p>
    <w:p>
      <w:pPr>
        <w:pStyle w:val="ListBullet"/>
        <w:numPr>
          <w:ilvl w:val="0"/>
          <w:numId w:val="10"/>
        </w:numPr>
      </w:pPr>
      <w:r>
        <w:t>离职即时禁用。</w:t>
      </w:r>
    </w:p>
    <w:p>
      <w:pPr>
        <w:pStyle w:val="ListBullet"/>
        <w:numPr>
          <w:ilvl w:val="0"/>
          <w:numId w:val="10"/>
        </w:numPr>
      </w:pPr>
      <w:r>
        <w:t>临时权限自动到期。</w:t>
      </w:r>
    </w:p>
    <w:p>
      <w:pPr>
        <w:pStyle w:val="ListBullet"/>
        <w:numPr>
          <w:ilvl w:val="0"/>
          <w:numId w:val="10"/>
        </w:numPr>
      </w:pPr>
      <w:r>
        <w:t>高权限每月复核，普通权限每季度。</w:t>
      </w:r>
    </w:p>
    <w:p>
      <w:pPr>
        <w:pStyle w:val="ListBullet"/>
        <w:numPr>
          <w:ilvl w:val="0"/>
          <w:numId w:val="10"/>
        </w:numPr>
      </w:pPr>
      <w:r>
        <w:t>90 天未用账号处理。</w:t>
      </w:r>
    </w:p>
    <w:p>
      <w:pPr>
        <w:pStyle w:val="ListBullet"/>
        <w:numPr>
          <w:ilvl w:val="0"/>
          <w:numId w:val="10"/>
        </w:numPr>
      </w:pPr>
      <w:r>
        <w:t>服务账号无交互登录。</w:t>
      </w:r>
    </w:p>
    <w:p>
      <w:pPr>
        <w:pStyle w:val="ListBullet"/>
        <w:numPr>
          <w:ilvl w:val="0"/>
          <w:numId w:val="10"/>
        </w:numPr>
      </w:pPr>
      <w:r>
        <w:t>Break-glass 双人启用、短时、全程告警和事后复核。</w:t>
      </w:r>
    </w:p>
    <w:p>
      <w:pPr>
        <w:pStyle w:val="Heading1"/>
      </w:pPr>
      <w:r>
        <w:t>六、密码与密钥</w:t>
      </w:r>
    </w:p>
    <w:p>
      <w:pPr>
        <w:pStyle w:val="Heading2"/>
      </w:pPr>
      <w:r>
        <w:t>6.1 密钥类型</w:t>
      </w:r>
    </w:p>
    <w:p>
      <w:pPr>
        <w:pStyle w:val="ListBullet"/>
        <w:numPr>
          <w:ilvl w:val="0"/>
          <w:numId w:val="10"/>
        </w:numPr>
      </w:pPr>
      <w:r>
        <w:t>TLS；</w:t>
      </w:r>
    </w:p>
    <w:p>
      <w:pPr>
        <w:pStyle w:val="ListBullet"/>
        <w:numPr>
          <w:ilvl w:val="0"/>
          <w:numId w:val="10"/>
        </w:numPr>
      </w:pPr>
      <w:r>
        <w:t>JWT/JWKS；</w:t>
      </w:r>
    </w:p>
    <w:p>
      <w:pPr>
        <w:pStyle w:val="ListBullet"/>
        <w:numPr>
          <w:ilvl w:val="0"/>
          <w:numId w:val="10"/>
        </w:numPr>
      </w:pPr>
      <w:r>
        <w:t>设备证书；</w:t>
      </w:r>
    </w:p>
    <w:p>
      <w:pPr>
        <w:pStyle w:val="ListBullet"/>
        <w:numPr>
          <w:ilvl w:val="0"/>
          <w:numId w:val="10"/>
        </w:numPr>
      </w:pPr>
      <w:r>
        <w:t>Webhook 签名；</w:t>
      </w:r>
    </w:p>
    <w:p>
      <w:pPr>
        <w:pStyle w:val="ListBullet"/>
        <w:numPr>
          <w:ilvl w:val="0"/>
          <w:numId w:val="10"/>
        </w:numPr>
      </w:pPr>
      <w:r>
        <w:t>数据包签名；</w:t>
      </w:r>
    </w:p>
    <w:p>
      <w:pPr>
        <w:pStyle w:val="ListBullet"/>
        <w:numPr>
          <w:ilvl w:val="0"/>
          <w:numId w:val="10"/>
        </w:numPr>
      </w:pPr>
      <w:r>
        <w:t>数据库/字段加密；</w:t>
      </w:r>
    </w:p>
    <w:p>
      <w:pPr>
        <w:pStyle w:val="ListBullet"/>
        <w:numPr>
          <w:ilvl w:val="0"/>
          <w:numId w:val="10"/>
        </w:numPr>
      </w:pPr>
      <w:r>
        <w:t>对象存储；</w:t>
      </w:r>
    </w:p>
    <w:p>
      <w:pPr>
        <w:pStyle w:val="ListBullet"/>
        <w:numPr>
          <w:ilvl w:val="0"/>
          <w:numId w:val="10"/>
        </w:numPr>
      </w:pPr>
      <w:r>
        <w:t>备份；</w:t>
      </w:r>
    </w:p>
    <w:p>
      <w:pPr>
        <w:pStyle w:val="ListBullet"/>
        <w:numPr>
          <w:ilvl w:val="0"/>
          <w:numId w:val="10"/>
        </w:numPr>
      </w:pPr>
      <w:r>
        <w:t>支付/连接器凭证；</w:t>
      </w:r>
    </w:p>
    <w:p>
      <w:pPr>
        <w:pStyle w:val="ListBullet"/>
        <w:numPr>
          <w:ilvl w:val="0"/>
          <w:numId w:val="10"/>
        </w:numPr>
      </w:pPr>
      <w:r>
        <w:t>CI/CD 签名。</w:t>
      </w:r>
    </w:p>
    <w:p>
      <w:pPr>
        <w:pStyle w:val="Heading2"/>
      </w:pPr>
      <w:r>
        <w:t>6.2 管理</w:t>
      </w:r>
    </w:p>
    <w:p>
      <w:pPr>
        <w:pStyle w:val="ListBullet"/>
        <w:numPr>
          <w:ilvl w:val="0"/>
          <w:numId w:val="10"/>
        </w:numPr>
      </w:pPr>
      <w:r>
        <w:t>密钥存 KMS/HSM/Vault，不写源码、配置库、镜像或日志。</w:t>
      </w:r>
    </w:p>
    <w:p>
      <w:pPr>
        <w:pStyle w:val="ListBullet"/>
        <w:numPr>
          <w:ilvl w:val="0"/>
          <w:numId w:val="10"/>
        </w:numPr>
      </w:pPr>
      <w:r>
        <w:t>应用只保存 secret_ref。</w:t>
      </w:r>
    </w:p>
    <w:p>
      <w:pPr>
        <w:pStyle w:val="ListBullet"/>
        <w:numPr>
          <w:ilvl w:val="0"/>
          <w:numId w:val="10"/>
        </w:numPr>
      </w:pPr>
      <w:r>
        <w:t>每个环境、租户/伙伴和用途隔离。</w:t>
      </w:r>
    </w:p>
    <w:p>
      <w:pPr>
        <w:pStyle w:val="ListBullet"/>
        <w:numPr>
          <w:ilvl w:val="0"/>
          <w:numId w:val="10"/>
        </w:numPr>
      </w:pPr>
      <w:r>
        <w:t>key_id/version 明确。</w:t>
      </w:r>
    </w:p>
    <w:p>
      <w:pPr>
        <w:pStyle w:val="ListBullet"/>
        <w:numPr>
          <w:ilvl w:val="0"/>
          <w:numId w:val="10"/>
        </w:numPr>
      </w:pPr>
      <w:r>
        <w:t>支持双密钥验证窗口和无停机轮换。</w:t>
      </w:r>
    </w:p>
    <w:p>
      <w:pPr>
        <w:pStyle w:val="ListBullet"/>
        <w:numPr>
          <w:ilvl w:val="0"/>
          <w:numId w:val="10"/>
        </w:numPr>
      </w:pPr>
      <w:r>
        <w:t>访问由工作负载身份和最小权限控制。</w:t>
      </w:r>
    </w:p>
    <w:p>
      <w:pPr>
        <w:pStyle w:val="ListBullet"/>
        <w:numPr>
          <w:ilvl w:val="0"/>
          <w:numId w:val="10"/>
        </w:numPr>
      </w:pPr>
      <w:r>
        <w:t>密钥导出、轮换、吊销和失败告警。</w:t>
      </w:r>
    </w:p>
    <w:p>
      <w:pPr>
        <w:pStyle w:val="ListBullet"/>
        <w:numPr>
          <w:ilvl w:val="0"/>
          <w:numId w:val="10"/>
        </w:numPr>
      </w:pPr>
      <w:r>
        <w:t>备份密钥与数据备份分开保管。</w:t>
      </w:r>
    </w:p>
    <w:p>
      <w:pPr>
        <w:pStyle w:val="Heading2"/>
      </w:pPr>
      <w:r>
        <w:t>6.3 轮换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557"/>
        <w:gridCol w:w="5803"/>
      </w:tblGrid>
      <w:tr>
        <w:trPr>
          <w:cantSplit/>
          <w:tblHeader w:val="true"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类型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建议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短期访问 token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分钟级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数据库密码/服务 secret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90 天或自动轮换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Webhook/连接器密钥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90—180 天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TLS 证书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自动续期，短周期优先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数据加密主密钥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年度/风险触发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包签名密钥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年度并保留验证历史</w:t>
            </w:r>
          </w:p>
        </w:tc>
      </w:tr>
    </w:tbl>
    <w:p>
      <w:pPr>
        <w:spacing w:before="0" w:after="40"/>
      </w:pPr>
    </w:p>
    <w:p>
      <w:r>
        <w:t>泄漏时立即吊销，不等待常规周期。</w:t>
      </w:r>
    </w:p>
    <w:p>
      <w:pPr>
        <w:pStyle w:val="Heading1"/>
      </w:pPr>
      <w:r>
        <w:t>七、数据加密与脱敏</w:t>
      </w:r>
    </w:p>
    <w:p>
      <w:pPr>
        <w:pStyle w:val="Heading2"/>
      </w:pPr>
      <w:r>
        <w:t>7.1 传输</w:t>
      </w:r>
    </w:p>
    <w:p>
      <w:pPr>
        <w:pStyle w:val="ListBullet"/>
        <w:numPr>
          <w:ilvl w:val="0"/>
          <w:numId w:val="10"/>
        </w:numPr>
      </w:pPr>
      <w:r>
        <w:t>外部和内部敏感链路 TLS 1.2+，优先 1.3。</w:t>
      </w:r>
    </w:p>
    <w:p>
      <w:pPr>
        <w:pStyle w:val="ListBullet"/>
        <w:numPr>
          <w:ilvl w:val="0"/>
          <w:numId w:val="10"/>
        </w:numPr>
      </w:pPr>
      <w:r>
        <w:t>禁用弱协议和套件。</w:t>
      </w:r>
    </w:p>
    <w:p>
      <w:pPr>
        <w:pStyle w:val="ListBullet"/>
        <w:numPr>
          <w:ilvl w:val="0"/>
          <w:numId w:val="10"/>
        </w:numPr>
      </w:pPr>
      <w:r>
        <w:t>数据库、Redis、MQ、对象存储启用 TLS。</w:t>
      </w:r>
    </w:p>
    <w:p>
      <w:pPr>
        <w:pStyle w:val="ListBullet"/>
        <w:numPr>
          <w:ilvl w:val="0"/>
          <w:numId w:val="10"/>
        </w:numPr>
      </w:pPr>
      <w:r>
        <w:t>管理/运维入口 VPN/ZTNA + MFA。</w:t>
      </w:r>
    </w:p>
    <w:p>
      <w:pPr>
        <w:pStyle w:val="ListBullet"/>
        <w:numPr>
          <w:ilvl w:val="0"/>
          <w:numId w:val="10"/>
        </w:numPr>
      </w:pPr>
      <w:r>
        <w:t>POS、Edge Agent、Webhook 可使用 mTLS/消息签名。</w:t>
      </w:r>
    </w:p>
    <w:p>
      <w:pPr>
        <w:pStyle w:val="Heading2"/>
      </w:pPr>
      <w:r>
        <w:t>7.2 存储</w:t>
      </w:r>
    </w:p>
    <w:p>
      <w:pPr>
        <w:pStyle w:val="ListBullet"/>
        <w:numPr>
          <w:ilvl w:val="0"/>
          <w:numId w:val="10"/>
        </w:numPr>
      </w:pPr>
      <w:r>
        <w:t>云盘/数据库/对象存储服务端加密。</w:t>
      </w:r>
    </w:p>
    <w:p>
      <w:pPr>
        <w:pStyle w:val="ListBullet"/>
        <w:numPr>
          <w:ilvl w:val="0"/>
          <w:numId w:val="10"/>
        </w:numPr>
      </w:pPr>
      <w:r>
        <w:t>L4 字段使用应用层字段加密或令牌化。</w:t>
      </w:r>
    </w:p>
    <w:p>
      <w:pPr>
        <w:pStyle w:val="ListBullet"/>
        <w:numPr>
          <w:ilvl w:val="0"/>
          <w:numId w:val="10"/>
        </w:numPr>
      </w:pPr>
      <w:r>
        <w:t>密钥与数据分离。</w:t>
      </w:r>
    </w:p>
    <w:p>
      <w:pPr>
        <w:pStyle w:val="ListBullet"/>
        <w:numPr>
          <w:ilvl w:val="0"/>
          <w:numId w:val="10"/>
        </w:numPr>
      </w:pPr>
      <w:r>
        <w:t>本地 POS 数据库按设备能力加密，私钥在 Android Keystore。</w:t>
      </w:r>
    </w:p>
    <w:p>
      <w:pPr>
        <w:pStyle w:val="ListBullet"/>
        <w:numPr>
          <w:ilvl w:val="0"/>
          <w:numId w:val="10"/>
        </w:numPr>
      </w:pPr>
      <w:r>
        <w:t>备份全程加密。</w:t>
      </w:r>
    </w:p>
    <w:p>
      <w:pPr>
        <w:pStyle w:val="ListBullet"/>
        <w:numPr>
          <w:ilvl w:val="0"/>
          <w:numId w:val="10"/>
        </w:numPr>
      </w:pPr>
      <w:r>
        <w:t>测试环境不使用未经脱敏生产数据。</w:t>
      </w:r>
    </w:p>
    <w:p>
      <w:pPr>
        <w:pStyle w:val="Heading2"/>
      </w:pPr>
      <w:r>
        <w:t>7.3 展示</w:t>
      </w:r>
    </w:p>
    <w:p>
      <w:pPr>
        <w:pStyle w:val="ListBullet"/>
        <w:numPr>
          <w:ilvl w:val="0"/>
          <w:numId w:val="10"/>
        </w:numPr>
      </w:pPr>
      <w:r>
        <w:t>手机号、地址、姓名、证件、银行卡标识默认掩码。</w:t>
      </w:r>
    </w:p>
    <w:p>
      <w:pPr>
        <w:pStyle w:val="ListBullet"/>
        <w:numPr>
          <w:ilvl w:val="0"/>
          <w:numId w:val="10"/>
        </w:numPr>
      </w:pPr>
      <w:r>
        <w:t>根据业务目的临时解密。</w:t>
      </w:r>
    </w:p>
    <w:p>
      <w:pPr>
        <w:pStyle w:val="ListBullet"/>
        <w:numPr>
          <w:ilvl w:val="0"/>
          <w:numId w:val="10"/>
        </w:numPr>
      </w:pPr>
      <w:r>
        <w:t>查看明文属于敏感动作并审计。</w:t>
      </w:r>
    </w:p>
    <w:p>
      <w:pPr>
        <w:pStyle w:val="ListBullet"/>
        <w:numPr>
          <w:ilvl w:val="0"/>
          <w:numId w:val="10"/>
        </w:numPr>
      </w:pPr>
      <w:r>
        <w:t>导出进一步脱敏/水印。</w:t>
      </w:r>
    </w:p>
    <w:p>
      <w:pPr>
        <w:pStyle w:val="ListBullet"/>
        <w:numPr>
          <w:ilvl w:val="0"/>
          <w:numId w:val="10"/>
        </w:numPr>
      </w:pPr>
      <w:r>
        <w:t>日志使用 ID/hash，不写完整值。</w:t>
      </w:r>
    </w:p>
    <w:p>
      <w:pPr>
        <w:pStyle w:val="Heading2"/>
      </w:pPr>
      <w:r>
        <w:t>7.4 密码学</w:t>
      </w:r>
    </w:p>
    <w:p>
      <w:pPr>
        <w:pStyle w:val="ListBullet"/>
        <w:numPr>
          <w:ilvl w:val="0"/>
          <w:numId w:val="10"/>
        </w:numPr>
      </w:pPr>
      <w:r>
        <w:t>使用成熟库和合规算法。</w:t>
      </w:r>
    </w:p>
    <w:p>
      <w:pPr>
        <w:pStyle w:val="ListBullet"/>
        <w:numPr>
          <w:ilvl w:val="0"/>
          <w:numId w:val="10"/>
        </w:numPr>
      </w:pPr>
      <w:r>
        <w:t>不自创加密。</w:t>
      </w:r>
    </w:p>
    <w:p>
      <w:pPr>
        <w:pStyle w:val="ListBullet"/>
        <w:numPr>
          <w:ilvl w:val="0"/>
          <w:numId w:val="10"/>
        </w:numPr>
      </w:pPr>
      <w:r>
        <w:t>AEAD 优先，例如 AES-GCM。</w:t>
      </w:r>
    </w:p>
    <w:p>
      <w:pPr>
        <w:pStyle w:val="ListBullet"/>
        <w:numPr>
          <w:ilvl w:val="0"/>
          <w:numId w:val="10"/>
        </w:numPr>
      </w:pPr>
      <w:r>
        <w:t>nonce/IV 不复用。</w:t>
      </w:r>
    </w:p>
    <w:p>
      <w:pPr>
        <w:pStyle w:val="ListBullet"/>
        <w:numPr>
          <w:ilvl w:val="0"/>
          <w:numId w:val="10"/>
        </w:numPr>
      </w:pPr>
      <w:r>
        <w:t>Hash 用 SHA-256 或更强。</w:t>
      </w:r>
    </w:p>
    <w:p>
      <w:pPr>
        <w:pStyle w:val="ListBullet"/>
        <w:numPr>
          <w:ilvl w:val="0"/>
          <w:numId w:val="10"/>
        </w:numPr>
      </w:pPr>
      <w:r>
        <w:t>口令哈希加盐并自适应。</w:t>
      </w:r>
    </w:p>
    <w:p>
      <w:pPr>
        <w:pStyle w:val="ListBullet"/>
        <w:numPr>
          <w:ilvl w:val="0"/>
          <w:numId w:val="10"/>
        </w:numPr>
      </w:pPr>
      <w:r>
        <w:t>算法可替换，禁止写死不可迁移格式。</w:t>
      </w:r>
    </w:p>
    <w:p>
      <w:pPr>
        <w:pStyle w:val="Heading1"/>
      </w:pPr>
      <w:r>
        <w:t>八、支付安全边界</w:t>
      </w:r>
    </w:p>
    <w:p>
      <w:pPr>
        <w:pStyle w:val="Heading2"/>
      </w:pPr>
      <w:r>
        <w:t>8.1 最小范围</w:t>
      </w:r>
    </w:p>
    <w:p>
      <w:pPr>
        <w:pStyle w:val="ListBullet"/>
        <w:numPr>
          <w:ilvl w:val="0"/>
          <w:numId w:val="10"/>
        </w:numPr>
      </w:pPr>
      <w:r>
        <w:t>二维码支付只保存平台交易号、金额、状态和脱敏渠道信息。</w:t>
      </w:r>
    </w:p>
    <w:p>
      <w:pPr>
        <w:pStyle w:val="ListBullet"/>
        <w:numPr>
          <w:ilvl w:val="0"/>
          <w:numId w:val="10"/>
        </w:numPr>
      </w:pPr>
      <w:r>
        <w:t>银行卡通过独立持证终端/SDK，POS 不采集 PIN、磁道、CVV。</w:t>
      </w:r>
    </w:p>
    <w:p>
      <w:pPr>
        <w:pStyle w:val="ListBullet"/>
        <w:numPr>
          <w:ilvl w:val="0"/>
          <w:numId w:val="10"/>
        </w:numPr>
      </w:pPr>
      <w:r>
        <w:t>不在服务端日志、数据库或小票保存完整 PAN。</w:t>
      </w:r>
    </w:p>
    <w:p>
      <w:pPr>
        <w:pStyle w:val="ListBullet"/>
        <w:numPr>
          <w:ilvl w:val="0"/>
          <w:numId w:val="10"/>
        </w:numPr>
      </w:pPr>
      <w:r>
        <w:t>支付密钥由支付模块/密钥服务持有。</w:t>
      </w:r>
    </w:p>
    <w:p>
      <w:pPr>
        <w:pStyle w:val="ListBullet"/>
        <w:numPr>
          <w:ilvl w:val="0"/>
          <w:numId w:val="10"/>
        </w:numPr>
      </w:pPr>
      <w:r>
        <w:t>回调验签、金额/币种/商户校验。</w:t>
      </w:r>
    </w:p>
    <w:p>
      <w:pPr>
        <w:pStyle w:val="ListBullet"/>
        <w:numPr>
          <w:ilvl w:val="0"/>
          <w:numId w:val="10"/>
        </w:numPr>
      </w:pPr>
      <w:r>
        <w:t>支付 UNKNOWN 查询，不盲目重扣。</w:t>
      </w:r>
    </w:p>
    <w:p>
      <w:pPr>
        <w:pStyle w:val="Heading2"/>
      </w:pPr>
      <w:r>
        <w:t>8.2 PCI</w:t>
      </w:r>
    </w:p>
    <w:p>
      <w:r>
        <w:t>若任何组件存储、处理、传输 CHD/SAD 或可影响 CDE：</w:t>
      </w:r>
    </w:p>
    <w:p>
      <w:pPr>
        <w:pStyle w:val="ListBullet"/>
        <w:numPr>
          <w:ilvl w:val="0"/>
          <w:numId w:val="10"/>
        </w:numPr>
      </w:pPr>
      <w:r>
        <w:t>由 QSA/收单机构正式定界；</w:t>
      </w:r>
    </w:p>
    <w:p>
      <w:pPr>
        <w:pStyle w:val="ListBullet"/>
        <w:numPr>
          <w:ilvl w:val="0"/>
          <w:numId w:val="10"/>
        </w:numPr>
      </w:pPr>
      <w:r>
        <w:t>采用 PCI DSS 4.0.1；</w:t>
      </w:r>
    </w:p>
    <w:p>
      <w:pPr>
        <w:pStyle w:val="ListBullet"/>
        <w:numPr>
          <w:ilvl w:val="0"/>
          <w:numId w:val="10"/>
        </w:numPr>
      </w:pPr>
      <w:r>
        <w:t>网络分段；</w:t>
      </w:r>
    </w:p>
    <w:p>
      <w:pPr>
        <w:pStyle w:val="ListBullet"/>
        <w:numPr>
          <w:ilvl w:val="0"/>
          <w:numId w:val="10"/>
        </w:numPr>
      </w:pPr>
      <w:r>
        <w:t>安全日志、漏洞扫描、渗透和访问控制；</w:t>
      </w:r>
    </w:p>
    <w:p>
      <w:pPr>
        <w:pStyle w:val="ListBullet"/>
        <w:numPr>
          <w:ilvl w:val="0"/>
          <w:numId w:val="10"/>
        </w:numPr>
      </w:pPr>
      <w:r>
        <w:t>SAQ/ROC 资格不能自行假定；</w:t>
      </w:r>
    </w:p>
    <w:p>
      <w:pPr>
        <w:pStyle w:val="ListBullet"/>
        <w:numPr>
          <w:ilvl w:val="0"/>
          <w:numId w:val="10"/>
        </w:numPr>
      </w:pPr>
      <w:r>
        <w:t>终端和 SDK 需满足适用 PCI PTS/MPoC/软件标准。</w:t>
      </w:r>
    </w:p>
    <w:p>
      <w:r>
        <w:t>产品路线优先保持“无卡数据/令牌化/外置支付终端”。</w:t>
      </w:r>
    </w:p>
    <w:p>
      <w:pPr>
        <w:pStyle w:val="Heading1"/>
      </w:pPr>
      <w:r>
        <w:t>九、应用与 API 安全</w:t>
      </w:r>
    </w:p>
    <w:p>
      <w:pPr>
        <w:pStyle w:val="Heading2"/>
      </w:pPr>
      <w:r>
        <w:t>9.1 安全开发</w:t>
      </w:r>
    </w:p>
    <w:p>
      <w:pPr>
        <w:pStyle w:val="ListBullet"/>
        <w:numPr>
          <w:ilvl w:val="0"/>
          <w:numId w:val="10"/>
        </w:numPr>
      </w:pPr>
      <w:r>
        <w:t>威胁建模：订单、支付、退款、库存、离线、连接器、开放 API。</w:t>
      </w:r>
    </w:p>
    <w:p>
      <w:pPr>
        <w:pStyle w:val="ListBullet"/>
        <w:numPr>
          <w:ilvl w:val="0"/>
          <w:numId w:val="10"/>
        </w:numPr>
      </w:pPr>
      <w:r>
        <w:t>安全需求进入 Backlog 和验收。</w:t>
      </w:r>
    </w:p>
    <w:p>
      <w:pPr>
        <w:pStyle w:val="ListBullet"/>
        <w:numPr>
          <w:ilvl w:val="0"/>
          <w:numId w:val="10"/>
        </w:numPr>
      </w:pPr>
      <w:r>
        <w:t>代码评审和 CODEOWNERS。</w:t>
      </w:r>
    </w:p>
    <w:p>
      <w:pPr>
        <w:pStyle w:val="ListBullet"/>
        <w:numPr>
          <w:ilvl w:val="0"/>
          <w:numId w:val="10"/>
        </w:numPr>
      </w:pPr>
      <w:r>
        <w:t>SAST、SCA、Secret、IaC、容器扫描。</w:t>
      </w:r>
    </w:p>
    <w:p>
      <w:pPr>
        <w:pStyle w:val="ListBullet"/>
        <w:numPr>
          <w:ilvl w:val="0"/>
          <w:numId w:val="10"/>
        </w:numPr>
      </w:pPr>
      <w:r>
        <w:t>单元/集成安全测试。</w:t>
      </w:r>
    </w:p>
    <w:p>
      <w:pPr>
        <w:pStyle w:val="ListBullet"/>
        <w:numPr>
          <w:ilvl w:val="0"/>
          <w:numId w:val="10"/>
        </w:numPr>
      </w:pPr>
      <w:r>
        <w:t>DAST 与渗透。</w:t>
      </w:r>
    </w:p>
    <w:p>
      <w:pPr>
        <w:pStyle w:val="ListBullet"/>
        <w:numPr>
          <w:ilvl w:val="0"/>
          <w:numId w:val="10"/>
        </w:numPr>
      </w:pPr>
      <w:r>
        <w:t>SBOM、制品签名和 provenance。</w:t>
      </w:r>
    </w:p>
    <w:p>
      <w:pPr>
        <w:pStyle w:val="ListBullet"/>
        <w:numPr>
          <w:ilvl w:val="0"/>
          <w:numId w:val="10"/>
        </w:numPr>
      </w:pPr>
      <w:r>
        <w:t>生产变更审批和回滚。</w:t>
      </w:r>
    </w:p>
    <w:p>
      <w:pPr>
        <w:pStyle w:val="Heading2"/>
      </w:pPr>
      <w:r>
        <w:t>9.2 ASVS</w:t>
      </w:r>
    </w:p>
    <w:p>
      <w:r>
        <w:t>商业 V1：</w:t>
      </w:r>
    </w:p>
    <w:p>
      <w:pPr>
        <w:pStyle w:val="ListBullet"/>
        <w:numPr>
          <w:ilvl w:val="0"/>
          <w:numId w:val="10"/>
        </w:numPr>
      </w:pPr>
      <w:r>
        <w:t>普通管理与开放 API 以 ASVS L2 适用项为基线。</w:t>
      </w:r>
    </w:p>
    <w:p>
      <w:pPr>
        <w:pStyle w:val="ListBullet"/>
        <w:numPr>
          <w:ilvl w:val="0"/>
          <w:numId w:val="10"/>
        </w:numPr>
      </w:pPr>
      <w:r>
        <w:t>身份、支付、储值、退款、密钥和平台运维按更高风险强化。</w:t>
      </w:r>
    </w:p>
    <w:p>
      <w:pPr>
        <w:pStyle w:val="ListBullet"/>
        <w:numPr>
          <w:ilvl w:val="0"/>
          <w:numId w:val="10"/>
        </w:numPr>
      </w:pPr>
      <w:r>
        <w:t>每个适用控制映射到测试和证据。</w:t>
      </w:r>
    </w:p>
    <w:p>
      <w:pPr>
        <w:pStyle w:val="ListBullet"/>
        <w:numPr>
          <w:ilvl w:val="0"/>
          <w:numId w:val="10"/>
        </w:numPr>
      </w:pPr>
      <w:r>
        <w:t>不把“扫描无高危”视为 ASVS 通过。</w:t>
      </w:r>
    </w:p>
    <w:p>
      <w:pPr>
        <w:pStyle w:val="Heading2"/>
      </w:pPr>
      <w:r>
        <w:t>9.3 输入与输出</w:t>
      </w:r>
    </w:p>
    <w:p>
      <w:pPr>
        <w:pStyle w:val="ListBullet"/>
        <w:numPr>
          <w:ilvl w:val="0"/>
          <w:numId w:val="10"/>
        </w:numPr>
      </w:pPr>
      <w:r>
        <w:t>DTO Schema 验证；</w:t>
      </w:r>
    </w:p>
    <w:p>
      <w:pPr>
        <w:pStyle w:val="ListBullet"/>
        <w:numPr>
          <w:ilvl w:val="0"/>
          <w:numId w:val="10"/>
        </w:numPr>
      </w:pPr>
      <w:r>
        <w:t>长度、类型、枚举、Decimal 精度；</w:t>
      </w:r>
    </w:p>
    <w:p>
      <w:pPr>
        <w:pStyle w:val="ListBullet"/>
        <w:numPr>
          <w:ilvl w:val="0"/>
          <w:numId w:val="10"/>
        </w:numPr>
      </w:pPr>
      <w:r>
        <w:t>参数化 SQL；</w:t>
      </w:r>
    </w:p>
    <w:p>
      <w:pPr>
        <w:pStyle w:val="ListBullet"/>
        <w:numPr>
          <w:ilvl w:val="0"/>
          <w:numId w:val="10"/>
        </w:numPr>
      </w:pPr>
      <w:r>
        <w:t>输出编码；</w:t>
      </w:r>
    </w:p>
    <w:p>
      <w:pPr>
        <w:pStyle w:val="ListBullet"/>
        <w:numPr>
          <w:ilvl w:val="0"/>
          <w:numId w:val="10"/>
        </w:numPr>
      </w:pPr>
      <w:r>
        <w:t>HTML/Markdown 清洗；</w:t>
      </w:r>
    </w:p>
    <w:p>
      <w:pPr>
        <w:pStyle w:val="ListBullet"/>
        <w:numPr>
          <w:ilvl w:val="0"/>
          <w:numId w:val="10"/>
        </w:numPr>
      </w:pPr>
      <w:r>
        <w:t>文件类型/大小/病毒扫描；</w:t>
      </w:r>
    </w:p>
    <w:p>
      <w:pPr>
        <w:pStyle w:val="ListBullet"/>
        <w:numPr>
          <w:ilvl w:val="0"/>
          <w:numId w:val="10"/>
        </w:numPr>
      </w:pPr>
      <w:r>
        <w:t>SSRF URL allowlist/解析后 IP 校验；</w:t>
      </w:r>
    </w:p>
    <w:p>
      <w:pPr>
        <w:pStyle w:val="ListBullet"/>
        <w:numPr>
          <w:ilvl w:val="0"/>
          <w:numId w:val="10"/>
        </w:numPr>
      </w:pPr>
      <w:r>
        <w:t>解压缩大小限制；</w:t>
      </w:r>
    </w:p>
    <w:p>
      <w:pPr>
        <w:pStyle w:val="ListBullet"/>
        <w:numPr>
          <w:ilvl w:val="0"/>
          <w:numId w:val="10"/>
        </w:numPr>
      </w:pPr>
      <w:r>
        <w:t>JSON 深度/节点限制；</w:t>
      </w:r>
    </w:p>
    <w:p>
      <w:pPr>
        <w:pStyle w:val="ListBullet"/>
        <w:numPr>
          <w:ilvl w:val="0"/>
          <w:numId w:val="10"/>
        </w:numPr>
      </w:pPr>
      <w:r>
        <w:t>防 Mass Assignment。</w:t>
      </w:r>
    </w:p>
    <w:p>
      <w:pPr>
        <w:pStyle w:val="Heading2"/>
      </w:pPr>
      <w:r>
        <w:t>9.4 API</w:t>
      </w:r>
    </w:p>
    <w:p>
      <w:pPr>
        <w:pStyle w:val="ListBullet"/>
        <w:numPr>
          <w:ilvl w:val="0"/>
          <w:numId w:val="10"/>
        </w:numPr>
      </w:pPr>
      <w:r>
        <w:t>OAuth/Scope/Data Scope；</w:t>
      </w:r>
    </w:p>
    <w:p>
      <w:pPr>
        <w:pStyle w:val="ListBullet"/>
        <w:numPr>
          <w:ilvl w:val="0"/>
          <w:numId w:val="10"/>
        </w:numPr>
      </w:pPr>
      <w:r>
        <w:t>BOLA/BFLA；</w:t>
      </w:r>
    </w:p>
    <w:p>
      <w:pPr>
        <w:pStyle w:val="ListBullet"/>
        <w:numPr>
          <w:ilvl w:val="0"/>
          <w:numId w:val="10"/>
        </w:numPr>
      </w:pPr>
      <w:r>
        <w:t>Idempotency-Key；</w:t>
      </w:r>
    </w:p>
    <w:p>
      <w:pPr>
        <w:pStyle w:val="ListBullet"/>
        <w:numPr>
          <w:ilvl w:val="0"/>
          <w:numId w:val="10"/>
        </w:numPr>
      </w:pPr>
      <w:r>
        <w:t>ETag/If-Match；</w:t>
      </w:r>
    </w:p>
    <w:p>
      <w:pPr>
        <w:pStyle w:val="ListBullet"/>
        <w:numPr>
          <w:ilvl w:val="0"/>
          <w:numId w:val="10"/>
        </w:numPr>
      </w:pPr>
      <w:r>
        <w:t>限流和业务滥用；</w:t>
      </w:r>
    </w:p>
    <w:p>
      <w:pPr>
        <w:pStyle w:val="ListBullet"/>
        <w:numPr>
          <w:ilvl w:val="0"/>
          <w:numId w:val="10"/>
        </w:numPr>
      </w:pPr>
      <w:r>
        <w:t>RFC 9457 脱敏错误；</w:t>
      </w:r>
    </w:p>
    <w:p>
      <w:pPr>
        <w:pStyle w:val="ListBullet"/>
        <w:numPr>
          <w:ilvl w:val="0"/>
          <w:numId w:val="10"/>
        </w:numPr>
      </w:pPr>
      <w:r>
        <w:t>API Inventory 与版本退役；</w:t>
      </w:r>
    </w:p>
    <w:p>
      <w:pPr>
        <w:pStyle w:val="ListBullet"/>
        <w:numPr>
          <w:ilvl w:val="0"/>
          <w:numId w:val="10"/>
        </w:numPr>
      </w:pPr>
      <w:r>
        <w:t>Webhook RFC 9421/9530 签名；</w:t>
      </w:r>
    </w:p>
    <w:p>
      <w:pPr>
        <w:pStyle w:val="ListBullet"/>
        <w:numPr>
          <w:ilvl w:val="0"/>
          <w:numId w:val="10"/>
        </w:numPr>
      </w:pPr>
      <w:r>
        <w:t>外部响应不可信。</w:t>
      </w:r>
    </w:p>
    <w:p>
      <w:pPr>
        <w:pStyle w:val="Heading1"/>
      </w:pPr>
      <w:r>
        <w:t>十、POS 与设备安全</w:t>
      </w:r>
    </w:p>
    <w:p>
      <w:pPr>
        <w:pStyle w:val="Heading2"/>
      </w:pPr>
      <w:r>
        <w:t>10.1 应用</w:t>
      </w:r>
    </w:p>
    <w:p>
      <w:pPr>
        <w:pStyle w:val="ListBullet"/>
        <w:numPr>
          <w:ilvl w:val="0"/>
          <w:numId w:val="10"/>
        </w:numPr>
      </w:pPr>
      <w:r>
        <w:t>Release 签名、完整性和官方分发。</w:t>
      </w:r>
    </w:p>
    <w:p>
      <w:pPr>
        <w:pStyle w:val="ListBullet"/>
        <w:numPr>
          <w:ilvl w:val="0"/>
          <w:numId w:val="10"/>
        </w:numPr>
      </w:pPr>
      <w:r>
        <w:t>禁止生产调试、明文网络和 WebView 不安全桥。</w:t>
      </w:r>
    </w:p>
    <w:p>
      <w:pPr>
        <w:pStyle w:val="ListBullet"/>
        <w:numPr>
          <w:ilvl w:val="0"/>
          <w:numId w:val="10"/>
        </w:numPr>
      </w:pPr>
      <w:r>
        <w:t>Root/模拟器/Hook 风险按策略告警或限制。</w:t>
      </w:r>
    </w:p>
    <w:p>
      <w:pPr>
        <w:pStyle w:val="ListBullet"/>
        <w:numPr>
          <w:ilvl w:val="0"/>
          <w:numId w:val="10"/>
        </w:numPr>
      </w:pPr>
      <w:r>
        <w:t>Android Keystore。</w:t>
      </w:r>
    </w:p>
    <w:p>
      <w:pPr>
        <w:pStyle w:val="ListBullet"/>
        <w:numPr>
          <w:ilvl w:val="0"/>
          <w:numId w:val="10"/>
        </w:numPr>
      </w:pPr>
      <w:r>
        <w:t>数据库和日志保护。</w:t>
      </w:r>
    </w:p>
    <w:p>
      <w:pPr>
        <w:pStyle w:val="ListBullet"/>
        <w:numPr>
          <w:ilvl w:val="0"/>
          <w:numId w:val="10"/>
        </w:numPr>
      </w:pPr>
      <w:r>
        <w:t>截屏、剪贴板、外部存储按敏感页面限制。</w:t>
      </w:r>
    </w:p>
    <w:p>
      <w:pPr>
        <w:pStyle w:val="ListBullet"/>
        <w:numPr>
          <w:ilvl w:val="0"/>
          <w:numId w:val="10"/>
        </w:numPr>
      </w:pPr>
      <w:r>
        <w:t>后台任务与导出授权。</w:t>
      </w:r>
    </w:p>
    <w:p>
      <w:pPr>
        <w:pStyle w:val="Heading2"/>
      </w:pPr>
      <w:r>
        <w:t>10.2 Kiosk</w:t>
      </w:r>
    </w:p>
    <w:p>
      <w:pPr>
        <w:pStyle w:val="ListBullet"/>
        <w:numPr>
          <w:ilvl w:val="0"/>
          <w:numId w:val="10"/>
        </w:numPr>
      </w:pPr>
      <w:r>
        <w:t>Fully Managed + DPC/EMM。</w:t>
      </w:r>
    </w:p>
    <w:p>
      <w:pPr>
        <w:pStyle w:val="ListBullet"/>
        <w:numPr>
          <w:ilvl w:val="0"/>
          <w:numId w:val="10"/>
        </w:numPr>
      </w:pPr>
      <w:r>
        <w:t>Lock task allowlist。</w:t>
      </w:r>
    </w:p>
    <w:p>
      <w:pPr>
        <w:pStyle w:val="ListBullet"/>
        <w:numPr>
          <w:ilvl w:val="0"/>
          <w:numId w:val="10"/>
        </w:numPr>
      </w:pPr>
      <w:r>
        <w:t>禁用 USB 调试、未知来源、非授权 App。</w:t>
      </w:r>
    </w:p>
    <w:p>
      <w:pPr>
        <w:pStyle w:val="ListBullet"/>
        <w:numPr>
          <w:ilvl w:val="0"/>
          <w:numId w:val="10"/>
        </w:numPr>
      </w:pPr>
      <w:r>
        <w:t>远程锁定、擦除和证书吊销。</w:t>
      </w:r>
    </w:p>
    <w:p>
      <w:pPr>
        <w:pStyle w:val="ListBullet"/>
        <w:numPr>
          <w:ilvl w:val="0"/>
          <w:numId w:val="10"/>
        </w:numPr>
      </w:pPr>
      <w:r>
        <w:t>系统补丁/固件 SLA。</w:t>
      </w:r>
    </w:p>
    <w:p>
      <w:pPr>
        <w:pStyle w:val="ListBullet"/>
        <w:numPr>
          <w:ilvl w:val="0"/>
          <w:numId w:val="10"/>
        </w:numPr>
      </w:pPr>
      <w:r>
        <w:t>设备退役先同步、吊销和受控擦除。</w:t>
      </w:r>
    </w:p>
    <w:p>
      <w:pPr>
        <w:pStyle w:val="Heading2"/>
      </w:pPr>
      <w:r>
        <w:t>10.3 离线</w:t>
      </w:r>
    </w:p>
    <w:p>
      <w:pPr>
        <w:pStyle w:val="ListBullet"/>
        <w:numPr>
          <w:ilvl w:val="0"/>
          <w:numId w:val="10"/>
        </w:numPr>
      </w:pPr>
      <w:r>
        <w:t>离线授权期限；</w:t>
      </w:r>
    </w:p>
    <w:p>
      <w:pPr>
        <w:pStyle w:val="ListBullet"/>
        <w:numPr>
          <w:ilvl w:val="0"/>
          <w:numId w:val="10"/>
        </w:numPr>
      </w:pPr>
      <w:r>
        <w:t>SKU/金额/储值/券额度；</w:t>
      </w:r>
    </w:p>
    <w:p>
      <w:pPr>
        <w:pStyle w:val="ListBullet"/>
        <w:numPr>
          <w:ilvl w:val="0"/>
          <w:numId w:val="10"/>
        </w:numPr>
      </w:pPr>
      <w:r>
        <w:t>规则包签名与有效期；</w:t>
      </w:r>
    </w:p>
    <w:p>
      <w:pPr>
        <w:pStyle w:val="ListBullet"/>
        <w:numPr>
          <w:ilvl w:val="0"/>
          <w:numId w:val="10"/>
        </w:numPr>
      </w:pPr>
      <w:r>
        <w:t>Outbox 不可删除；</w:t>
      </w:r>
    </w:p>
    <w:p>
      <w:pPr>
        <w:pStyle w:val="ListBullet"/>
        <w:numPr>
          <w:ilvl w:val="0"/>
          <w:numId w:val="10"/>
        </w:numPr>
      </w:pPr>
      <w:r>
        <w:t>相同 event_id 不同 hash 阻断；</w:t>
      </w:r>
    </w:p>
    <w:p>
      <w:pPr>
        <w:pStyle w:val="ListBullet"/>
        <w:numPr>
          <w:ilvl w:val="0"/>
          <w:numId w:val="10"/>
        </w:numPr>
      </w:pPr>
      <w:r>
        <w:t>设备克隆检测；</w:t>
      </w:r>
    </w:p>
    <w:p>
      <w:pPr>
        <w:pStyle w:val="ListBullet"/>
        <w:numPr>
          <w:ilvl w:val="0"/>
          <w:numId w:val="10"/>
        </w:numPr>
      </w:pPr>
      <w:r>
        <w:t>时间漂移；</w:t>
      </w:r>
    </w:p>
    <w:p>
      <w:pPr>
        <w:pStyle w:val="ListBullet"/>
        <w:numPr>
          <w:ilvl w:val="0"/>
          <w:numId w:val="10"/>
        </w:numPr>
      </w:pPr>
      <w:r>
        <w:t>未同步交易换机流程。</w:t>
      </w:r>
    </w:p>
    <w:p>
      <w:pPr>
        <w:pStyle w:val="Heading1"/>
      </w:pPr>
      <w:r>
        <w:t>十一、基础设施与网络</w:t>
      </w:r>
    </w:p>
    <w:p>
      <w:pPr>
        <w:pStyle w:val="Heading2"/>
      </w:pPr>
      <w:r>
        <w:t>11.1 分区</w:t>
      </w:r>
    </w:p>
    <w:p>
      <w:r>
        <w:t>建议：</w:t>
      </w:r>
    </w:p>
    <w:p>
      <w:pPr>
        <w:pStyle w:val="ListBullet"/>
        <w:numPr>
          <w:ilvl w:val="0"/>
          <w:numId w:val="10"/>
        </w:numPr>
      </w:pPr>
      <w:r>
        <w:t>Internet/WAF/Gateway；</w:t>
      </w:r>
    </w:p>
    <w:p>
      <w:pPr>
        <w:pStyle w:val="ListBullet"/>
        <w:numPr>
          <w:ilvl w:val="0"/>
          <w:numId w:val="10"/>
        </w:numPr>
      </w:pPr>
      <w:r>
        <w:t>Application；</w:t>
      </w:r>
    </w:p>
    <w:p>
      <w:pPr>
        <w:pStyle w:val="ListBullet"/>
        <w:numPr>
          <w:ilvl w:val="0"/>
          <w:numId w:val="10"/>
        </w:numPr>
      </w:pPr>
      <w:r>
        <w:t>Data；</w:t>
      </w:r>
    </w:p>
    <w:p>
      <w:pPr>
        <w:pStyle w:val="ListBullet"/>
        <w:numPr>
          <w:ilvl w:val="0"/>
          <w:numId w:val="10"/>
        </w:numPr>
      </w:pPr>
      <w:r>
        <w:t>Management；</w:t>
      </w:r>
    </w:p>
    <w:p>
      <w:pPr>
        <w:pStyle w:val="ListBullet"/>
        <w:numPr>
          <w:ilvl w:val="0"/>
          <w:numId w:val="10"/>
        </w:numPr>
      </w:pPr>
      <w:r>
        <w:t>Security/Logging；</w:t>
      </w:r>
    </w:p>
    <w:p>
      <w:pPr>
        <w:pStyle w:val="ListBullet"/>
        <w:numPr>
          <w:ilvl w:val="0"/>
          <w:numId w:val="10"/>
        </w:numPr>
      </w:pPr>
      <w:r>
        <w:t>Build；</w:t>
      </w:r>
    </w:p>
    <w:p>
      <w:pPr>
        <w:pStyle w:val="ListBullet"/>
        <w:numPr>
          <w:ilvl w:val="0"/>
          <w:numId w:val="10"/>
        </w:numPr>
      </w:pPr>
      <w:r>
        <w:t>Backup/DR。</w:t>
      </w:r>
    </w:p>
    <w:p>
      <w:r>
        <w:t>默认拒绝，按端口、身份和方向最小开放。</w:t>
      </w:r>
    </w:p>
    <w:p>
      <w:pPr>
        <w:pStyle w:val="Heading2"/>
      </w:pPr>
      <w:r>
        <w:t>11.2 边界</w:t>
      </w:r>
    </w:p>
    <w:p>
      <w:pPr>
        <w:pStyle w:val="ListBullet"/>
        <w:numPr>
          <w:ilvl w:val="0"/>
          <w:numId w:val="10"/>
        </w:numPr>
      </w:pPr>
      <w:r>
        <w:t>WAF、DDoS、防 Bot。</w:t>
      </w:r>
    </w:p>
    <w:p>
      <w:pPr>
        <w:pStyle w:val="ListBullet"/>
        <w:numPr>
          <w:ilvl w:val="0"/>
          <w:numId w:val="10"/>
        </w:numPr>
      </w:pPr>
      <w:r>
        <w:t>管理端不直接暴露公网。</w:t>
      </w:r>
    </w:p>
    <w:p>
      <w:pPr>
        <w:pStyle w:val="ListBullet"/>
        <w:numPr>
          <w:ilvl w:val="0"/>
          <w:numId w:val="10"/>
        </w:numPr>
      </w:pPr>
      <w:r>
        <w:t>数据库/Redis/MQ 无公网。</w:t>
      </w:r>
    </w:p>
    <w:p>
      <w:pPr>
        <w:pStyle w:val="ListBullet"/>
        <w:numPr>
          <w:ilvl w:val="0"/>
          <w:numId w:val="10"/>
        </w:numPr>
      </w:pPr>
      <w:r>
        <w:t>出站代理/域名 allowlist，连接器隔离。</w:t>
      </w:r>
    </w:p>
    <w:p>
      <w:pPr>
        <w:pStyle w:val="ListBullet"/>
        <w:numPr>
          <w:ilvl w:val="0"/>
          <w:numId w:val="10"/>
        </w:numPr>
      </w:pPr>
      <w:r>
        <w:t>云安全组、网络 ACL 与主机防火墙。</w:t>
      </w:r>
    </w:p>
    <w:p>
      <w:pPr>
        <w:pStyle w:val="ListBullet"/>
        <w:numPr>
          <w:ilvl w:val="0"/>
          <w:numId w:val="10"/>
        </w:numPr>
      </w:pPr>
      <w:r>
        <w:t>流量和 DNS 日志。</w:t>
      </w:r>
    </w:p>
    <w:p>
      <w:pPr>
        <w:pStyle w:val="ListBullet"/>
        <w:numPr>
          <w:ilvl w:val="0"/>
          <w:numId w:val="10"/>
        </w:numPr>
      </w:pPr>
      <w:r>
        <w:t>SSRF 到元数据地址阻断。</w:t>
      </w:r>
    </w:p>
    <w:p>
      <w:pPr>
        <w:pStyle w:val="Heading2"/>
      </w:pPr>
      <w:r>
        <w:t>11.3 主机/容器</w:t>
      </w:r>
    </w:p>
    <w:p>
      <w:pPr>
        <w:pStyle w:val="ListBullet"/>
        <w:numPr>
          <w:ilvl w:val="0"/>
          <w:numId w:val="10"/>
        </w:numPr>
      </w:pPr>
      <w:r>
        <w:t>最小镜像、非 root。</w:t>
      </w:r>
    </w:p>
    <w:p>
      <w:pPr>
        <w:pStyle w:val="ListBullet"/>
        <w:numPr>
          <w:ilvl w:val="0"/>
          <w:numId w:val="10"/>
        </w:numPr>
      </w:pPr>
      <w:r>
        <w:t>只读文件系统和最小 capabilities。</w:t>
      </w:r>
    </w:p>
    <w:p>
      <w:pPr>
        <w:pStyle w:val="ListBullet"/>
        <w:numPr>
          <w:ilvl w:val="0"/>
          <w:numId w:val="10"/>
        </w:numPr>
      </w:pPr>
      <w:r>
        <w:t>漏洞基线与补丁。</w:t>
      </w:r>
    </w:p>
    <w:p>
      <w:pPr>
        <w:pStyle w:val="ListBullet"/>
        <w:numPr>
          <w:ilvl w:val="0"/>
          <w:numId w:val="10"/>
        </w:numPr>
      </w:pPr>
      <w:r>
        <w:t>EDR/运行时防护按环境。</w:t>
      </w:r>
    </w:p>
    <w:p>
      <w:pPr>
        <w:pStyle w:val="ListBullet"/>
        <w:numPr>
          <w:ilvl w:val="0"/>
          <w:numId w:val="10"/>
        </w:numPr>
      </w:pPr>
      <w:r>
        <w:t>禁止共享宿主机敏感目录。</w:t>
      </w:r>
    </w:p>
    <w:p>
      <w:pPr>
        <w:pStyle w:val="ListBullet"/>
        <w:numPr>
          <w:ilvl w:val="0"/>
          <w:numId w:val="10"/>
        </w:numPr>
      </w:pPr>
      <w:r>
        <w:t>资源 limits/requests。</w:t>
      </w:r>
    </w:p>
    <w:p>
      <w:pPr>
        <w:pStyle w:val="ListBullet"/>
        <w:numPr>
          <w:ilvl w:val="0"/>
          <w:numId w:val="10"/>
        </w:numPr>
      </w:pPr>
      <w:r>
        <w:t>镜像签名和准入。</w:t>
      </w:r>
    </w:p>
    <w:p>
      <w:pPr>
        <w:pStyle w:val="ListBullet"/>
        <w:numPr>
          <w:ilvl w:val="0"/>
          <w:numId w:val="10"/>
        </w:numPr>
      </w:pPr>
      <w:r>
        <w:t>不在镜像写 secret。</w:t>
      </w:r>
    </w:p>
    <w:p>
      <w:pPr>
        <w:pStyle w:val="Heading2"/>
      </w:pPr>
      <w:r>
        <w:t>11.4 数据库</w:t>
      </w:r>
    </w:p>
    <w:p>
      <w:pPr>
        <w:pStyle w:val="ListBullet"/>
        <w:numPr>
          <w:ilvl w:val="0"/>
          <w:numId w:val="10"/>
        </w:numPr>
      </w:pPr>
      <w:r>
        <w:t>独立账号和最小权限。</w:t>
      </w:r>
    </w:p>
    <w:p>
      <w:pPr>
        <w:pStyle w:val="ListBullet"/>
        <w:numPr>
          <w:ilvl w:val="0"/>
          <w:numId w:val="10"/>
        </w:numPr>
      </w:pPr>
      <w:r>
        <w:t>应用无 DDL/超级权限。</w:t>
      </w:r>
    </w:p>
    <w:p>
      <w:pPr>
        <w:pStyle w:val="ListBullet"/>
        <w:numPr>
          <w:ilvl w:val="0"/>
          <w:numId w:val="10"/>
        </w:numPr>
      </w:pPr>
      <w:r>
        <w:t>TLS、审计和慢查询。</w:t>
      </w:r>
    </w:p>
    <w:p>
      <w:pPr>
        <w:pStyle w:val="ListBullet"/>
        <w:numPr>
          <w:ilvl w:val="0"/>
          <w:numId w:val="10"/>
        </w:numPr>
      </w:pPr>
      <w:r>
        <w:t>tenant_id 索引和拦截。</w:t>
      </w:r>
    </w:p>
    <w:p>
      <w:pPr>
        <w:pStyle w:val="ListBullet"/>
        <w:numPr>
          <w:ilvl w:val="0"/>
          <w:numId w:val="10"/>
        </w:numPr>
      </w:pPr>
      <w:r>
        <w:t>PITR/备份。</w:t>
      </w:r>
    </w:p>
    <w:p>
      <w:pPr>
        <w:pStyle w:val="ListBullet"/>
        <w:numPr>
          <w:ilvl w:val="0"/>
          <w:numId w:val="10"/>
        </w:numPr>
      </w:pPr>
      <w:r>
        <w:t>高可用主备。</w:t>
      </w:r>
    </w:p>
    <w:p>
      <w:pPr>
        <w:pStyle w:val="ListBullet"/>
        <w:numPr>
          <w:ilvl w:val="0"/>
          <w:numId w:val="10"/>
        </w:numPr>
      </w:pPr>
      <w:r>
        <w:t>禁止生产人工直改交易表。</w:t>
      </w:r>
    </w:p>
    <w:p>
      <w:pPr>
        <w:pStyle w:val="ListBullet"/>
        <w:numPr>
          <w:ilvl w:val="0"/>
          <w:numId w:val="10"/>
        </w:numPr>
      </w:pPr>
      <w:r>
        <w:t>Break-glass SQL 双人审批和留痕。</w:t>
      </w:r>
    </w:p>
    <w:p>
      <w:pPr>
        <w:pStyle w:val="Heading2"/>
      </w:pPr>
      <w:r>
        <w:t>11.5 Redis/MQ</w:t>
      </w:r>
    </w:p>
    <w:p>
      <w:pPr>
        <w:pStyle w:val="ListBullet"/>
        <w:numPr>
          <w:ilvl w:val="0"/>
          <w:numId w:val="10"/>
        </w:numPr>
      </w:pPr>
      <w:r>
        <w:t>私网、认证/TLS。</w:t>
      </w:r>
    </w:p>
    <w:p>
      <w:pPr>
        <w:pStyle w:val="ListBullet"/>
        <w:numPr>
          <w:ilvl w:val="0"/>
          <w:numId w:val="10"/>
        </w:numPr>
      </w:pPr>
      <w:r>
        <w:t>tenant_id 缓存键。</w:t>
      </w:r>
    </w:p>
    <w:p>
      <w:pPr>
        <w:pStyle w:val="ListBullet"/>
        <w:numPr>
          <w:ilvl w:val="0"/>
          <w:numId w:val="10"/>
        </w:numPr>
      </w:pPr>
      <w:r>
        <w:t>Redis 不是交易事实。</w:t>
      </w:r>
    </w:p>
    <w:p>
      <w:pPr>
        <w:pStyle w:val="ListBullet"/>
        <w:numPr>
          <w:ilvl w:val="0"/>
          <w:numId w:val="10"/>
        </w:numPr>
      </w:pPr>
      <w:r>
        <w:t>消息 ACL、Inbox/Outbox。</w:t>
      </w:r>
    </w:p>
    <w:p>
      <w:pPr>
        <w:pStyle w:val="ListBullet"/>
        <w:numPr>
          <w:ilvl w:val="0"/>
          <w:numId w:val="10"/>
        </w:numPr>
      </w:pPr>
      <w:r>
        <w:t>DLQ 和积压告警。</w:t>
      </w:r>
    </w:p>
    <w:p>
      <w:pPr>
        <w:pStyle w:val="ListBullet"/>
        <w:numPr>
          <w:ilvl w:val="0"/>
          <w:numId w:val="10"/>
        </w:numPr>
      </w:pPr>
      <w:r>
        <w:t>不在消息头放 secret/PII。</w:t>
      </w:r>
    </w:p>
    <w:p>
      <w:pPr>
        <w:pStyle w:val="Heading1"/>
      </w:pPr>
      <w:r>
        <w:t>十二、日志、审计与监控</w:t>
      </w:r>
    </w:p>
    <w:p>
      <w:pPr>
        <w:pStyle w:val="Heading2"/>
      </w:pPr>
      <w:r>
        <w:t>12.1 日志分类</w:t>
      </w:r>
    </w:p>
    <w:p>
      <w:pPr>
        <w:pStyle w:val="ListBullet"/>
        <w:numPr>
          <w:ilvl w:val="0"/>
          <w:numId w:val="10"/>
        </w:numPr>
      </w:pPr>
      <w:r>
        <w:t>应用运行；</w:t>
      </w:r>
    </w:p>
    <w:p>
      <w:pPr>
        <w:pStyle w:val="ListBullet"/>
        <w:numPr>
          <w:ilvl w:val="0"/>
          <w:numId w:val="10"/>
        </w:numPr>
      </w:pPr>
      <w:r>
        <w:t>安全认证；</w:t>
      </w:r>
    </w:p>
    <w:p>
      <w:pPr>
        <w:pStyle w:val="ListBullet"/>
        <w:numPr>
          <w:ilvl w:val="0"/>
          <w:numId w:val="10"/>
        </w:numPr>
      </w:pPr>
      <w:r>
        <w:t>管理操作；</w:t>
      </w:r>
    </w:p>
    <w:p>
      <w:pPr>
        <w:pStyle w:val="ListBullet"/>
        <w:numPr>
          <w:ilvl w:val="0"/>
          <w:numId w:val="10"/>
        </w:numPr>
      </w:pPr>
      <w:r>
        <w:t>交易审计；</w:t>
      </w:r>
    </w:p>
    <w:p>
      <w:pPr>
        <w:pStyle w:val="ListBullet"/>
        <w:numPr>
          <w:ilvl w:val="0"/>
          <w:numId w:val="10"/>
        </w:numPr>
      </w:pPr>
      <w:r>
        <w:t>数据访问；</w:t>
      </w:r>
    </w:p>
    <w:p>
      <w:pPr>
        <w:pStyle w:val="ListBullet"/>
        <w:numPr>
          <w:ilvl w:val="0"/>
          <w:numId w:val="10"/>
        </w:numPr>
      </w:pPr>
      <w:r>
        <w:t>数据库审计；</w:t>
      </w:r>
    </w:p>
    <w:p>
      <w:pPr>
        <w:pStyle w:val="ListBullet"/>
        <w:numPr>
          <w:ilvl w:val="0"/>
          <w:numId w:val="10"/>
        </w:numPr>
      </w:pPr>
      <w:r>
        <w:t>网络/WAF；</w:t>
      </w:r>
    </w:p>
    <w:p>
      <w:pPr>
        <w:pStyle w:val="ListBullet"/>
        <w:numPr>
          <w:ilvl w:val="0"/>
          <w:numId w:val="10"/>
        </w:numPr>
      </w:pPr>
      <w:r>
        <w:t>云平台；</w:t>
      </w:r>
    </w:p>
    <w:p>
      <w:pPr>
        <w:pStyle w:val="ListBullet"/>
        <w:numPr>
          <w:ilvl w:val="0"/>
          <w:numId w:val="10"/>
        </w:numPr>
      </w:pPr>
      <w:r>
        <w:t>POS/设备；</w:t>
      </w:r>
    </w:p>
    <w:p>
      <w:pPr>
        <w:pStyle w:val="ListBullet"/>
        <w:numPr>
          <w:ilvl w:val="0"/>
          <w:numId w:val="10"/>
        </w:numPr>
      </w:pPr>
      <w:r>
        <w:t>CI/CD。</w:t>
      </w:r>
    </w:p>
    <w:p>
      <w:pPr>
        <w:pStyle w:val="Heading2"/>
      </w:pPr>
      <w:r>
        <w:t>12.2 审计</w:t>
      </w:r>
    </w:p>
    <w:p>
      <w:r>
        <w:t>高价值审计包含：</w:t>
      </w:r>
    </w:p>
    <w:p>
      <w:pPr>
        <w:pStyle w:val="ListBullet"/>
        <w:numPr>
          <w:ilvl w:val="0"/>
          <w:numId w:val="10"/>
        </w:numPr>
      </w:pPr>
      <w:r>
        <w:t>tenant_id、actor、device/app；</w:t>
      </w:r>
    </w:p>
    <w:p>
      <w:pPr>
        <w:pStyle w:val="ListBullet"/>
        <w:numPr>
          <w:ilvl w:val="0"/>
          <w:numId w:val="10"/>
        </w:numPr>
      </w:pPr>
      <w:r>
        <w:t>action、resource、before/after 摘要；</w:t>
      </w:r>
    </w:p>
    <w:p>
      <w:pPr>
        <w:pStyle w:val="ListBullet"/>
        <w:numPr>
          <w:ilvl w:val="0"/>
          <w:numId w:val="10"/>
        </w:numPr>
      </w:pPr>
      <w:r>
        <w:t>command/event/idempotency；</w:t>
      </w:r>
    </w:p>
    <w:p>
      <w:pPr>
        <w:pStyle w:val="ListBullet"/>
        <w:numPr>
          <w:ilvl w:val="0"/>
          <w:numId w:val="10"/>
        </w:numPr>
      </w:pPr>
      <w:r>
        <w:t>reason/approval；</w:t>
      </w:r>
    </w:p>
    <w:p>
      <w:pPr>
        <w:pStyle w:val="ListBullet"/>
        <w:numPr>
          <w:ilvl w:val="0"/>
          <w:numId w:val="10"/>
        </w:numPr>
      </w:pPr>
      <w:r>
        <w:t>request/trace；</w:t>
      </w:r>
    </w:p>
    <w:p>
      <w:pPr>
        <w:pStyle w:val="ListBullet"/>
        <w:numPr>
          <w:ilvl w:val="0"/>
          <w:numId w:val="10"/>
        </w:numPr>
      </w:pPr>
      <w:r>
        <w:t>occurred/received；</w:t>
      </w:r>
    </w:p>
    <w:p>
      <w:pPr>
        <w:pStyle w:val="ListBullet"/>
        <w:numPr>
          <w:ilvl w:val="0"/>
          <w:numId w:val="10"/>
        </w:numPr>
      </w:pPr>
      <w:r>
        <w:t>result/error；</w:t>
      </w:r>
    </w:p>
    <w:p>
      <w:pPr>
        <w:pStyle w:val="ListBullet"/>
        <w:numPr>
          <w:ilvl w:val="0"/>
          <w:numId w:val="10"/>
        </w:numPr>
      </w:pPr>
      <w:r>
        <w:t>IP/会话/密钥版本。</w:t>
      </w:r>
    </w:p>
    <w:p>
      <w:r>
        <w:t>审计日志防篡改、集中存储、严格访问和时间同步。</w:t>
      </w:r>
    </w:p>
    <w:p>
      <w:pPr>
        <w:pStyle w:val="Heading2"/>
      </w:pPr>
      <w:r>
        <w:t>12.3 保留</w:t>
      </w:r>
    </w:p>
    <w:p>
      <w:r>
        <w:t>保留期由法律、合同、等保、支付和争议要求确定。建议：</w:t>
      </w:r>
    </w:p>
    <w:p>
      <w:pPr>
        <w:pStyle w:val="ListBullet"/>
        <w:numPr>
          <w:ilvl w:val="0"/>
          <w:numId w:val="10"/>
        </w:numPr>
      </w:pPr>
      <w:r>
        <w:t>安全在线日志至少 180 天并满足实际监管要求；</w:t>
      </w:r>
    </w:p>
    <w:p>
      <w:pPr>
        <w:pStyle w:val="ListBullet"/>
        <w:numPr>
          <w:ilvl w:val="0"/>
          <w:numId w:val="10"/>
        </w:numPr>
      </w:pPr>
      <w:r>
        <w:t>交易审计随交易法定/合同周期；</w:t>
      </w:r>
    </w:p>
    <w:p>
      <w:pPr>
        <w:pStyle w:val="ListBullet"/>
        <w:numPr>
          <w:ilvl w:val="0"/>
          <w:numId w:val="10"/>
        </w:numPr>
      </w:pPr>
      <w:r>
        <w:t>管理操作至少 1 年；</w:t>
      </w:r>
    </w:p>
    <w:p>
      <w:pPr>
        <w:pStyle w:val="ListBullet"/>
        <w:numPr>
          <w:ilvl w:val="0"/>
          <w:numId w:val="10"/>
        </w:numPr>
      </w:pPr>
      <w:r>
        <w:t>PIPL 影响评估和处理记录按法律要求；</w:t>
      </w:r>
    </w:p>
    <w:p>
      <w:pPr>
        <w:pStyle w:val="ListBullet"/>
        <w:numPr>
          <w:ilvl w:val="0"/>
          <w:numId w:val="10"/>
        </w:numPr>
      </w:pPr>
      <w:r>
        <w:t>无必要的调试日志短周期。</w:t>
      </w:r>
    </w:p>
    <w:p>
      <w:r>
        <w:t>保留期到期自动删除/匿名化，并有删除证据。</w:t>
      </w:r>
    </w:p>
    <w:p>
      <w:pPr>
        <w:pStyle w:val="Heading2"/>
      </w:pPr>
      <w:r>
        <w:t>12.4 告警</w:t>
      </w:r>
    </w:p>
    <w:p>
      <w:r>
        <w:t>P0/P1：</w:t>
      </w:r>
    </w:p>
    <w:p>
      <w:pPr>
        <w:pStyle w:val="ListBullet"/>
        <w:numPr>
          <w:ilvl w:val="0"/>
          <w:numId w:val="10"/>
        </w:numPr>
      </w:pPr>
      <w:r>
        <w:t>跨租户；</w:t>
      </w:r>
    </w:p>
    <w:p>
      <w:pPr>
        <w:pStyle w:val="ListBullet"/>
        <w:numPr>
          <w:ilvl w:val="0"/>
          <w:numId w:val="10"/>
        </w:numPr>
      </w:pPr>
      <w:r>
        <w:t>支付重复/金额异常；</w:t>
      </w:r>
    </w:p>
    <w:p>
      <w:pPr>
        <w:pStyle w:val="ListBullet"/>
        <w:numPr>
          <w:ilvl w:val="0"/>
          <w:numId w:val="10"/>
        </w:numPr>
      </w:pPr>
      <w:r>
        <w:t>密钥泄漏；</w:t>
      </w:r>
    </w:p>
    <w:p>
      <w:pPr>
        <w:pStyle w:val="ListBullet"/>
        <w:numPr>
          <w:ilvl w:val="0"/>
          <w:numId w:val="10"/>
        </w:numPr>
      </w:pPr>
      <w:r>
        <w:t>大量数据导出；</w:t>
      </w:r>
    </w:p>
    <w:p>
      <w:pPr>
        <w:pStyle w:val="ListBullet"/>
        <w:numPr>
          <w:ilvl w:val="0"/>
          <w:numId w:val="10"/>
        </w:numPr>
      </w:pPr>
      <w:r>
        <w:t>管理员异常登录；</w:t>
      </w:r>
    </w:p>
    <w:p>
      <w:pPr>
        <w:pStyle w:val="ListBullet"/>
        <w:numPr>
          <w:ilvl w:val="0"/>
          <w:numId w:val="10"/>
        </w:numPr>
      </w:pPr>
      <w:r>
        <w:t>日志/备份关闭；</w:t>
      </w:r>
    </w:p>
    <w:p>
      <w:pPr>
        <w:pStyle w:val="ListBullet"/>
        <w:numPr>
          <w:ilvl w:val="0"/>
          <w:numId w:val="10"/>
        </w:numPr>
      </w:pPr>
      <w:r>
        <w:t>Webhook/连接器签名失败激增；</w:t>
      </w:r>
    </w:p>
    <w:p>
      <w:pPr>
        <w:pStyle w:val="ListBullet"/>
        <w:numPr>
          <w:ilvl w:val="0"/>
          <w:numId w:val="10"/>
        </w:numPr>
      </w:pPr>
      <w:r>
        <w:t>数据库异常修改；</w:t>
      </w:r>
    </w:p>
    <w:p>
      <w:pPr>
        <w:pStyle w:val="ListBullet"/>
        <w:numPr>
          <w:ilvl w:val="0"/>
          <w:numId w:val="10"/>
        </w:numPr>
      </w:pPr>
      <w:r>
        <w:t>备份连续失败；</w:t>
      </w:r>
    </w:p>
    <w:p>
      <w:pPr>
        <w:pStyle w:val="ListBullet"/>
        <w:numPr>
          <w:ilvl w:val="0"/>
          <w:numId w:val="10"/>
        </w:numPr>
      </w:pPr>
      <w:r>
        <w:t>恢复点不可用；</w:t>
      </w:r>
    </w:p>
    <w:p>
      <w:pPr>
        <w:pStyle w:val="ListBullet"/>
        <w:numPr>
          <w:ilvl w:val="0"/>
          <w:numId w:val="10"/>
        </w:numPr>
      </w:pPr>
      <w:r>
        <w:t>设备克隆。</w:t>
      </w:r>
    </w:p>
    <w:p>
      <w:pPr>
        <w:pStyle w:val="Heading1"/>
      </w:pPr>
      <w:r>
        <w:t>十三、隐私治理</w:t>
      </w:r>
    </w:p>
    <w:p>
      <w:pPr>
        <w:pStyle w:val="Heading2"/>
      </w:pPr>
      <w:r>
        <w:t>13.1 处理原则</w:t>
      </w:r>
    </w:p>
    <w:p>
      <w:pPr>
        <w:pStyle w:val="ListBullet"/>
        <w:numPr>
          <w:ilvl w:val="0"/>
          <w:numId w:val="10"/>
        </w:numPr>
      </w:pPr>
      <w:r>
        <w:t>明确目的；</w:t>
      </w:r>
    </w:p>
    <w:p>
      <w:pPr>
        <w:pStyle w:val="ListBullet"/>
        <w:numPr>
          <w:ilvl w:val="0"/>
          <w:numId w:val="10"/>
        </w:numPr>
      </w:pPr>
      <w:r>
        <w:t>最小必要；</w:t>
      </w:r>
    </w:p>
    <w:p>
      <w:pPr>
        <w:pStyle w:val="ListBullet"/>
        <w:numPr>
          <w:ilvl w:val="0"/>
          <w:numId w:val="10"/>
        </w:numPr>
      </w:pPr>
      <w:r>
        <w:t>公开透明；</w:t>
      </w:r>
    </w:p>
    <w:p>
      <w:pPr>
        <w:pStyle w:val="ListBullet"/>
        <w:numPr>
          <w:ilvl w:val="0"/>
          <w:numId w:val="10"/>
        </w:numPr>
      </w:pPr>
      <w:r>
        <w:t>准确；</w:t>
      </w:r>
    </w:p>
    <w:p>
      <w:pPr>
        <w:pStyle w:val="ListBullet"/>
        <w:numPr>
          <w:ilvl w:val="0"/>
          <w:numId w:val="10"/>
        </w:numPr>
      </w:pPr>
      <w:r>
        <w:t>保留最短；</w:t>
      </w:r>
    </w:p>
    <w:p>
      <w:pPr>
        <w:pStyle w:val="ListBullet"/>
        <w:numPr>
          <w:ilvl w:val="0"/>
          <w:numId w:val="10"/>
        </w:numPr>
      </w:pPr>
      <w:r>
        <w:t>安全；</w:t>
      </w:r>
    </w:p>
    <w:p>
      <w:pPr>
        <w:pStyle w:val="ListBullet"/>
        <w:numPr>
          <w:ilvl w:val="0"/>
          <w:numId w:val="10"/>
        </w:numPr>
      </w:pPr>
      <w:r>
        <w:t>可问责。</w:t>
      </w:r>
    </w:p>
    <w:p>
      <w:pPr>
        <w:pStyle w:val="Heading2"/>
      </w:pPr>
      <w:r>
        <w:t>13.2 告知与同意</w:t>
      </w:r>
    </w:p>
    <w:p>
      <w:pPr>
        <w:pStyle w:val="ListBullet"/>
        <w:numPr>
          <w:ilvl w:val="0"/>
          <w:numId w:val="10"/>
        </w:numPr>
      </w:pPr>
      <w:r>
        <w:t>租户/商户是处理者或受托处理角色需合同明确。</w:t>
      </w:r>
    </w:p>
    <w:p>
      <w:pPr>
        <w:pStyle w:val="ListBullet"/>
        <w:numPr>
          <w:ilvl w:val="0"/>
          <w:numId w:val="10"/>
        </w:numPr>
      </w:pPr>
      <w:r>
        <w:t>会员注册、营销、定位、画像、跨主体共享分开评估。</w:t>
      </w:r>
    </w:p>
    <w:p>
      <w:pPr>
        <w:pStyle w:val="ListBullet"/>
        <w:numPr>
          <w:ilvl w:val="0"/>
          <w:numId w:val="10"/>
        </w:numPr>
      </w:pPr>
      <w:r>
        <w:t>敏感个人信息满足特定目的、充分必要和严格保护，并履行单独同意等适用要求。</w:t>
      </w:r>
    </w:p>
    <w:p>
      <w:pPr>
        <w:pStyle w:val="ListBullet"/>
        <w:numPr>
          <w:ilvl w:val="0"/>
          <w:numId w:val="10"/>
        </w:numPr>
      </w:pPr>
      <w:r>
        <w:t>不把拒绝非必要同意作为基础收银服务前提。</w:t>
      </w:r>
    </w:p>
    <w:p>
      <w:pPr>
        <w:pStyle w:val="ListBullet"/>
        <w:numPr>
          <w:ilvl w:val="0"/>
          <w:numId w:val="10"/>
        </w:numPr>
      </w:pPr>
      <w:r>
        <w:t>同意有版本、时间、渠道和撤回。</w:t>
      </w:r>
    </w:p>
    <w:p>
      <w:pPr>
        <w:pStyle w:val="Heading2"/>
      </w:pPr>
      <w:r>
        <w:t>13.3 权利请求</w:t>
      </w:r>
    </w:p>
    <w:p>
      <w:r>
        <w:t>支持：</w:t>
      </w:r>
    </w:p>
    <w:p>
      <w:pPr>
        <w:pStyle w:val="ListBullet"/>
        <w:numPr>
          <w:ilvl w:val="0"/>
          <w:numId w:val="10"/>
        </w:numPr>
      </w:pPr>
      <w:r>
        <w:t>知情/查阅；</w:t>
      </w:r>
    </w:p>
    <w:p>
      <w:pPr>
        <w:pStyle w:val="ListBullet"/>
        <w:numPr>
          <w:ilvl w:val="0"/>
          <w:numId w:val="10"/>
        </w:numPr>
      </w:pPr>
      <w:r>
        <w:t>复制；</w:t>
      </w:r>
    </w:p>
    <w:p>
      <w:pPr>
        <w:pStyle w:val="ListBullet"/>
        <w:numPr>
          <w:ilvl w:val="0"/>
          <w:numId w:val="10"/>
        </w:numPr>
      </w:pPr>
      <w:r>
        <w:t>更正/补充；</w:t>
      </w:r>
    </w:p>
    <w:p>
      <w:pPr>
        <w:pStyle w:val="ListBullet"/>
        <w:numPr>
          <w:ilvl w:val="0"/>
          <w:numId w:val="10"/>
        </w:numPr>
      </w:pPr>
      <w:r>
        <w:t>删除；</w:t>
      </w:r>
    </w:p>
    <w:p>
      <w:pPr>
        <w:pStyle w:val="ListBullet"/>
        <w:numPr>
          <w:ilvl w:val="0"/>
          <w:numId w:val="10"/>
        </w:numPr>
      </w:pPr>
      <w:r>
        <w:t>撤回同意；</w:t>
      </w:r>
    </w:p>
    <w:p>
      <w:pPr>
        <w:pStyle w:val="ListBullet"/>
        <w:numPr>
          <w:ilvl w:val="0"/>
          <w:numId w:val="10"/>
        </w:numPr>
      </w:pPr>
      <w:r>
        <w:t>注销；</w:t>
      </w:r>
    </w:p>
    <w:p>
      <w:pPr>
        <w:pStyle w:val="ListBullet"/>
        <w:numPr>
          <w:ilvl w:val="0"/>
          <w:numId w:val="10"/>
        </w:numPr>
      </w:pPr>
      <w:r>
        <w:t>解释自动化决策。</w:t>
      </w:r>
    </w:p>
    <w:p>
      <w:r>
        <w:t>工单需核验身份、计算范围、排除他人信息、记录响应时间和结果。交易/财务依法保留的数据可限制删除，但应说明并限制用途。</w:t>
      </w:r>
    </w:p>
    <w:p>
      <w:pPr>
        <w:pStyle w:val="Heading2"/>
      </w:pPr>
      <w:r>
        <w:t>13.4 PIPIA</w:t>
      </w:r>
    </w:p>
    <w:p>
      <w:r>
        <w:t>以下场景进行个人信息保护影响评估：</w:t>
      </w:r>
    </w:p>
    <w:p>
      <w:pPr>
        <w:pStyle w:val="ListBullet"/>
        <w:numPr>
          <w:ilvl w:val="0"/>
          <w:numId w:val="10"/>
        </w:numPr>
      </w:pPr>
      <w:r>
        <w:t>敏感个人信息；</w:t>
      </w:r>
    </w:p>
    <w:p>
      <w:pPr>
        <w:pStyle w:val="ListBullet"/>
        <w:numPr>
          <w:ilvl w:val="0"/>
          <w:numId w:val="10"/>
        </w:numPr>
      </w:pPr>
      <w:r>
        <w:t>自动化决策；</w:t>
      </w:r>
    </w:p>
    <w:p>
      <w:pPr>
        <w:pStyle w:val="ListBullet"/>
        <w:numPr>
          <w:ilvl w:val="0"/>
          <w:numId w:val="10"/>
        </w:numPr>
      </w:pPr>
      <w:r>
        <w:t>委托、共享/提供；</w:t>
      </w:r>
    </w:p>
    <w:p>
      <w:pPr>
        <w:pStyle w:val="ListBullet"/>
        <w:numPr>
          <w:ilvl w:val="0"/>
          <w:numId w:val="10"/>
        </w:numPr>
      </w:pPr>
      <w:r>
        <w:t>公开；</w:t>
      </w:r>
    </w:p>
    <w:p>
      <w:pPr>
        <w:pStyle w:val="ListBullet"/>
        <w:numPr>
          <w:ilvl w:val="0"/>
          <w:numId w:val="10"/>
        </w:numPr>
      </w:pPr>
      <w:r>
        <w:t>跨境；</w:t>
      </w:r>
    </w:p>
    <w:p>
      <w:pPr>
        <w:pStyle w:val="ListBullet"/>
        <w:numPr>
          <w:ilvl w:val="0"/>
          <w:numId w:val="10"/>
        </w:numPr>
      </w:pPr>
      <w:r>
        <w:t>大规模监控/画像；</w:t>
      </w:r>
    </w:p>
    <w:p>
      <w:pPr>
        <w:pStyle w:val="ListBullet"/>
        <w:numPr>
          <w:ilvl w:val="0"/>
          <w:numId w:val="10"/>
        </w:numPr>
      </w:pPr>
      <w:r>
        <w:t>新连接器/会员能力；</w:t>
      </w:r>
    </w:p>
    <w:p>
      <w:pPr>
        <w:pStyle w:val="ListBullet"/>
        <w:numPr>
          <w:ilvl w:val="0"/>
          <w:numId w:val="10"/>
        </w:numPr>
      </w:pPr>
      <w:r>
        <w:t>重大技术变更。</w:t>
      </w:r>
    </w:p>
    <w:p>
      <w:r>
        <w:t>报告记录目的、影响、风险、措施和结论，并按法律要求保存。</w:t>
      </w:r>
    </w:p>
    <w:p>
      <w:pPr>
        <w:pStyle w:val="Heading2"/>
      </w:pPr>
      <w:r>
        <w:t>13.5 委托与第三方</w:t>
      </w:r>
    </w:p>
    <w:p>
      <w:pPr>
        <w:pStyle w:val="ListBullet"/>
        <w:numPr>
          <w:ilvl w:val="0"/>
          <w:numId w:val="10"/>
        </w:numPr>
      </w:pPr>
      <w:r>
        <w:t>数据处理协议；</w:t>
      </w:r>
    </w:p>
    <w:p>
      <w:pPr>
        <w:pStyle w:val="ListBullet"/>
        <w:numPr>
          <w:ilvl w:val="0"/>
          <w:numId w:val="10"/>
        </w:numPr>
      </w:pPr>
      <w:r>
        <w:t>目的、期限、方式、种类、保护措施；</w:t>
      </w:r>
    </w:p>
    <w:p>
      <w:pPr>
        <w:pStyle w:val="ListBullet"/>
        <w:numPr>
          <w:ilvl w:val="0"/>
          <w:numId w:val="10"/>
        </w:numPr>
      </w:pPr>
      <w:r>
        <w:t>子处理者；</w:t>
      </w:r>
    </w:p>
    <w:p>
      <w:pPr>
        <w:pStyle w:val="ListBullet"/>
        <w:numPr>
          <w:ilvl w:val="0"/>
          <w:numId w:val="10"/>
        </w:numPr>
      </w:pPr>
      <w:r>
        <w:t>安全事件通知；</w:t>
      </w:r>
    </w:p>
    <w:p>
      <w:pPr>
        <w:pStyle w:val="ListBullet"/>
        <w:numPr>
          <w:ilvl w:val="0"/>
          <w:numId w:val="10"/>
        </w:numPr>
      </w:pPr>
      <w:r>
        <w:t>删除/返还；</w:t>
      </w:r>
    </w:p>
    <w:p>
      <w:pPr>
        <w:pStyle w:val="ListBullet"/>
        <w:numPr>
          <w:ilvl w:val="0"/>
          <w:numId w:val="10"/>
        </w:numPr>
      </w:pPr>
      <w:r>
        <w:t>审计权；</w:t>
      </w:r>
    </w:p>
    <w:p>
      <w:pPr>
        <w:pStyle w:val="ListBullet"/>
        <w:numPr>
          <w:ilvl w:val="0"/>
          <w:numId w:val="10"/>
        </w:numPr>
      </w:pPr>
      <w:r>
        <w:t>数据位置；</w:t>
      </w:r>
    </w:p>
    <w:p>
      <w:pPr>
        <w:pStyle w:val="ListBullet"/>
        <w:numPr>
          <w:ilvl w:val="0"/>
          <w:numId w:val="10"/>
        </w:numPr>
      </w:pPr>
      <w:r>
        <w:t>终止机制。</w:t>
      </w:r>
    </w:p>
    <w:p>
      <w:pPr>
        <w:pStyle w:val="Heading2"/>
      </w:pPr>
      <w:r>
        <w:t>13.6 跨境</w:t>
      </w:r>
    </w:p>
    <w:p>
      <w:r>
        <w:t>商业 V1 默认中国境内存储和处理境内生产个人信息，不默认跨境。发生跨境前：</w:t>
      </w:r>
    </w:p>
    <w:p>
      <w:pPr>
        <w:pStyle w:val="ListBullet"/>
        <w:numPr>
          <w:ilvl w:val="0"/>
          <w:numId w:val="10"/>
        </w:numPr>
      </w:pPr>
      <w:r>
        <w:t>完成数据地图和必要性；</w:t>
      </w:r>
    </w:p>
    <w:p>
      <w:pPr>
        <w:pStyle w:val="ListBullet"/>
        <w:numPr>
          <w:ilvl w:val="0"/>
          <w:numId w:val="10"/>
        </w:numPr>
      </w:pPr>
      <w:r>
        <w:t>确认适用途径和阈值；</w:t>
      </w:r>
    </w:p>
    <w:p>
      <w:pPr>
        <w:pStyle w:val="ListBullet"/>
        <w:numPr>
          <w:ilvl w:val="0"/>
          <w:numId w:val="10"/>
        </w:numPr>
      </w:pPr>
      <w:r>
        <w:t>履行告知/单独同意等；</w:t>
      </w:r>
    </w:p>
    <w:p>
      <w:pPr>
        <w:pStyle w:val="ListBullet"/>
        <w:numPr>
          <w:ilvl w:val="0"/>
          <w:numId w:val="10"/>
        </w:numPr>
      </w:pPr>
      <w:r>
        <w:t>完成影响评估；</w:t>
      </w:r>
    </w:p>
    <w:p>
      <w:pPr>
        <w:pStyle w:val="ListBullet"/>
        <w:numPr>
          <w:ilvl w:val="0"/>
          <w:numId w:val="10"/>
        </w:numPr>
      </w:pPr>
      <w:r>
        <w:t>采用适用安全评估、标准合同或认证；</w:t>
      </w:r>
    </w:p>
    <w:p>
      <w:pPr>
        <w:pStyle w:val="ListBullet"/>
        <w:numPr>
          <w:ilvl w:val="0"/>
          <w:numId w:val="10"/>
        </w:numPr>
      </w:pPr>
      <w:r>
        <w:t>合同和持续监督；</w:t>
      </w:r>
    </w:p>
    <w:p>
      <w:pPr>
        <w:pStyle w:val="ListBullet"/>
        <w:numPr>
          <w:ilvl w:val="0"/>
          <w:numId w:val="10"/>
        </w:numPr>
      </w:pPr>
      <w:r>
        <w:t>不把开发日志或海外监控当作“小量无风险”。</w:t>
      </w:r>
    </w:p>
    <w:p>
      <w:pPr>
        <w:pStyle w:val="Heading1"/>
      </w:pPr>
      <w:r>
        <w:t>十四、供应链安全</w:t>
      </w:r>
    </w:p>
    <w:p>
      <w:pPr>
        <w:pStyle w:val="Heading2"/>
      </w:pPr>
      <w:r>
        <w:t>14.1 供应商</w:t>
      </w:r>
    </w:p>
    <w:p>
      <w:r>
        <w:t>评估：</w:t>
      </w:r>
    </w:p>
    <w:p>
      <w:pPr>
        <w:pStyle w:val="ListBullet"/>
        <w:numPr>
          <w:ilvl w:val="0"/>
          <w:numId w:val="10"/>
        </w:numPr>
      </w:pPr>
      <w:r>
        <w:t>云、CDN、短信；</w:t>
      </w:r>
    </w:p>
    <w:p>
      <w:pPr>
        <w:pStyle w:val="ListBullet"/>
        <w:numPr>
          <w:ilvl w:val="0"/>
          <w:numId w:val="10"/>
        </w:numPr>
      </w:pPr>
      <w:r>
        <w:t>支付；</w:t>
      </w:r>
    </w:p>
    <w:p>
      <w:pPr>
        <w:pStyle w:val="ListBullet"/>
        <w:numPr>
          <w:ilvl w:val="0"/>
          <w:numId w:val="10"/>
        </w:numPr>
      </w:pPr>
      <w:r>
        <w:t>硬件/固件；</w:t>
      </w:r>
    </w:p>
    <w:p>
      <w:pPr>
        <w:pStyle w:val="ListBullet"/>
        <w:numPr>
          <w:ilvl w:val="0"/>
          <w:numId w:val="10"/>
        </w:numPr>
      </w:pPr>
      <w:r>
        <w:t>Android 厂商 SDK；</w:t>
      </w:r>
    </w:p>
    <w:p>
      <w:pPr>
        <w:pStyle w:val="ListBullet"/>
        <w:numPr>
          <w:ilvl w:val="0"/>
          <w:numId w:val="10"/>
        </w:numPr>
      </w:pPr>
      <w:r>
        <w:t>连接器平台；</w:t>
      </w:r>
    </w:p>
    <w:p>
      <w:pPr>
        <w:pStyle w:val="ListBullet"/>
        <w:numPr>
          <w:ilvl w:val="0"/>
          <w:numId w:val="10"/>
        </w:numPr>
      </w:pPr>
      <w:r>
        <w:t>开源和商业软件；</w:t>
      </w:r>
    </w:p>
    <w:p>
      <w:pPr>
        <w:pStyle w:val="ListBullet"/>
        <w:numPr>
          <w:ilvl w:val="0"/>
          <w:numId w:val="10"/>
        </w:numPr>
      </w:pPr>
      <w:r>
        <w:t>外包研发/运维；</w:t>
      </w:r>
    </w:p>
    <w:p>
      <w:pPr>
        <w:pStyle w:val="ListBullet"/>
        <w:numPr>
          <w:ilvl w:val="0"/>
          <w:numId w:val="10"/>
        </w:numPr>
      </w:pPr>
      <w:r>
        <w:t>安全测评。</w:t>
      </w:r>
    </w:p>
    <w:p>
      <w:pPr>
        <w:pStyle w:val="Heading2"/>
      </w:pPr>
      <w:r>
        <w:t>14.2 准入</w:t>
      </w:r>
    </w:p>
    <w:p>
      <w:pPr>
        <w:pStyle w:val="ListBullet"/>
        <w:numPr>
          <w:ilvl w:val="0"/>
          <w:numId w:val="10"/>
        </w:numPr>
      </w:pPr>
      <w:r>
        <w:t>安全/隐私问卷；</w:t>
      </w:r>
    </w:p>
    <w:p>
      <w:pPr>
        <w:pStyle w:val="ListBullet"/>
        <w:numPr>
          <w:ilvl w:val="0"/>
          <w:numId w:val="10"/>
        </w:numPr>
      </w:pPr>
      <w:r>
        <w:t>资质与报告；</w:t>
      </w:r>
    </w:p>
    <w:p>
      <w:pPr>
        <w:pStyle w:val="ListBullet"/>
        <w:numPr>
          <w:ilvl w:val="0"/>
          <w:numId w:val="10"/>
        </w:numPr>
      </w:pPr>
      <w:r>
        <w:t>数据和网络访问；</w:t>
      </w:r>
    </w:p>
    <w:p>
      <w:pPr>
        <w:pStyle w:val="ListBullet"/>
        <w:numPr>
          <w:ilvl w:val="0"/>
          <w:numId w:val="10"/>
        </w:numPr>
      </w:pPr>
      <w:r>
        <w:t>漏洞与补丁 SLA；</w:t>
      </w:r>
    </w:p>
    <w:p>
      <w:pPr>
        <w:pStyle w:val="ListBullet"/>
        <w:numPr>
          <w:ilvl w:val="0"/>
          <w:numId w:val="10"/>
        </w:numPr>
      </w:pPr>
      <w:r>
        <w:t>SBOM；</w:t>
      </w:r>
    </w:p>
    <w:p>
      <w:pPr>
        <w:pStyle w:val="ListBullet"/>
        <w:numPr>
          <w:ilvl w:val="0"/>
          <w:numId w:val="10"/>
        </w:numPr>
      </w:pPr>
      <w:r>
        <w:t>事件通知；</w:t>
      </w:r>
    </w:p>
    <w:p>
      <w:pPr>
        <w:pStyle w:val="ListBullet"/>
        <w:numPr>
          <w:ilvl w:val="0"/>
          <w:numId w:val="10"/>
        </w:numPr>
      </w:pPr>
      <w:r>
        <w:t>备份/连续性；</w:t>
      </w:r>
    </w:p>
    <w:p>
      <w:pPr>
        <w:pStyle w:val="ListBullet"/>
        <w:numPr>
          <w:ilvl w:val="0"/>
          <w:numId w:val="10"/>
        </w:numPr>
      </w:pPr>
      <w:r>
        <w:t>分包；</w:t>
      </w:r>
    </w:p>
    <w:p>
      <w:pPr>
        <w:pStyle w:val="ListBullet"/>
        <w:numPr>
          <w:ilvl w:val="0"/>
          <w:numId w:val="10"/>
        </w:numPr>
      </w:pPr>
      <w:r>
        <w:t>退出和数据删除；</w:t>
      </w:r>
    </w:p>
    <w:p>
      <w:pPr>
        <w:pStyle w:val="ListBullet"/>
        <w:numPr>
          <w:ilvl w:val="0"/>
          <w:numId w:val="10"/>
        </w:numPr>
      </w:pPr>
      <w:r>
        <w:t>右审计。</w:t>
      </w:r>
    </w:p>
    <w:p>
      <w:pPr>
        <w:pStyle w:val="Heading2"/>
      </w:pPr>
      <w:r>
        <w:t>14.3 软件供应链</w:t>
      </w:r>
    </w:p>
    <w:p>
      <w:pPr>
        <w:pStyle w:val="ListBullet"/>
        <w:numPr>
          <w:ilvl w:val="0"/>
          <w:numId w:val="10"/>
        </w:numPr>
      </w:pPr>
      <w:r>
        <w:t>锁定依赖和可信仓库；</w:t>
      </w:r>
    </w:p>
    <w:p>
      <w:pPr>
        <w:pStyle w:val="ListBullet"/>
        <w:numPr>
          <w:ilvl w:val="0"/>
          <w:numId w:val="10"/>
        </w:numPr>
      </w:pPr>
      <w:r>
        <w:t>SCA 和许可证；</w:t>
      </w:r>
    </w:p>
    <w:p>
      <w:pPr>
        <w:pStyle w:val="ListBullet"/>
        <w:numPr>
          <w:ilvl w:val="0"/>
          <w:numId w:val="10"/>
        </w:numPr>
      </w:pPr>
      <w:r>
        <w:t>SBOM；</w:t>
      </w:r>
    </w:p>
    <w:p>
      <w:pPr>
        <w:pStyle w:val="ListBullet"/>
        <w:numPr>
          <w:ilvl w:val="0"/>
          <w:numId w:val="10"/>
        </w:numPr>
      </w:pPr>
      <w:r>
        <w:t>构建隔离；</w:t>
      </w:r>
    </w:p>
    <w:p>
      <w:pPr>
        <w:pStyle w:val="ListBullet"/>
        <w:numPr>
          <w:ilvl w:val="0"/>
          <w:numId w:val="10"/>
        </w:numPr>
      </w:pPr>
      <w:r>
        <w:t>最小 CI 权限；</w:t>
      </w:r>
    </w:p>
    <w:p>
      <w:pPr>
        <w:pStyle w:val="ListBullet"/>
        <w:numPr>
          <w:ilvl w:val="0"/>
          <w:numId w:val="10"/>
        </w:numPr>
      </w:pPr>
      <w:r>
        <w:t>制品签名；</w:t>
      </w:r>
    </w:p>
    <w:p>
      <w:pPr>
        <w:pStyle w:val="ListBullet"/>
        <w:numPr>
          <w:ilvl w:val="0"/>
          <w:numId w:val="10"/>
        </w:numPr>
      </w:pPr>
      <w:r>
        <w:t>部署验证；</w:t>
      </w:r>
    </w:p>
    <w:p>
      <w:pPr>
        <w:pStyle w:val="ListBullet"/>
        <w:numPr>
          <w:ilvl w:val="0"/>
          <w:numId w:val="10"/>
        </w:numPr>
      </w:pPr>
      <w:r>
        <w:t>依赖混淆防护；</w:t>
      </w:r>
    </w:p>
    <w:p>
      <w:pPr>
        <w:pStyle w:val="ListBullet"/>
        <w:numPr>
          <w:ilvl w:val="0"/>
          <w:numId w:val="10"/>
        </w:numPr>
      </w:pPr>
      <w:r>
        <w:t>Secret 扫描；</w:t>
      </w:r>
    </w:p>
    <w:p>
      <w:pPr>
        <w:pStyle w:val="ListBullet"/>
        <w:numPr>
          <w:ilvl w:val="0"/>
          <w:numId w:val="10"/>
        </w:numPr>
      </w:pPr>
      <w:r>
        <w:t>关键依赖升级策略。</w:t>
      </w:r>
    </w:p>
    <w:p>
      <w:pPr>
        <w:pStyle w:val="Heading1"/>
      </w:pPr>
      <w:r>
        <w:t>十五、漏洞管理</w:t>
      </w:r>
    </w:p>
    <w:p>
      <w:pPr>
        <w:pStyle w:val="Heading2"/>
      </w:pPr>
      <w:r>
        <w:t>15.1 来源</w:t>
      </w:r>
    </w:p>
    <w:p>
      <w:pPr>
        <w:pStyle w:val="ListBullet"/>
        <w:numPr>
          <w:ilvl w:val="0"/>
          <w:numId w:val="10"/>
        </w:numPr>
      </w:pPr>
      <w:r>
        <w:t>自动扫描；</w:t>
      </w:r>
    </w:p>
    <w:p>
      <w:pPr>
        <w:pStyle w:val="ListBullet"/>
        <w:numPr>
          <w:ilvl w:val="0"/>
          <w:numId w:val="10"/>
        </w:numPr>
      </w:pPr>
      <w:r>
        <w:t>渗透；</w:t>
      </w:r>
    </w:p>
    <w:p>
      <w:pPr>
        <w:pStyle w:val="ListBullet"/>
        <w:numPr>
          <w:ilvl w:val="0"/>
          <w:numId w:val="10"/>
        </w:numPr>
      </w:pPr>
      <w:r>
        <w:t>厂商通告；</w:t>
      </w:r>
    </w:p>
    <w:p>
      <w:pPr>
        <w:pStyle w:val="ListBullet"/>
        <w:numPr>
          <w:ilvl w:val="0"/>
          <w:numId w:val="10"/>
        </w:numPr>
      </w:pPr>
      <w:r>
        <w:t>CVE/SBOM；</w:t>
      </w:r>
    </w:p>
    <w:p>
      <w:pPr>
        <w:pStyle w:val="ListBullet"/>
        <w:numPr>
          <w:ilvl w:val="0"/>
          <w:numId w:val="10"/>
        </w:numPr>
      </w:pPr>
      <w:r>
        <w:t>Bug bounty/客户；</w:t>
      </w:r>
    </w:p>
    <w:p>
      <w:pPr>
        <w:pStyle w:val="ListBullet"/>
        <w:numPr>
          <w:ilvl w:val="0"/>
          <w:numId w:val="10"/>
        </w:numPr>
      </w:pPr>
      <w:r>
        <w:t>日志与事件；</w:t>
      </w:r>
    </w:p>
    <w:p>
      <w:pPr>
        <w:pStyle w:val="ListBullet"/>
        <w:numPr>
          <w:ilvl w:val="0"/>
          <w:numId w:val="10"/>
        </w:numPr>
      </w:pPr>
      <w:r>
        <w:t>等保测评。</w:t>
      </w:r>
    </w:p>
    <w:p>
      <w:pPr>
        <w:pStyle w:val="Heading2"/>
      </w:pPr>
      <w:r>
        <w:t>15.2 SLA</w:t>
      </w:r>
    </w:p>
    <w:p>
      <w:r>
        <w:t>建议：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553"/>
        <w:gridCol w:w="6807"/>
      </w:tblGrid>
      <w:tr>
        <w:trPr>
          <w:cantSplit/>
          <w:tblHeader w:val="true"/>
        </w:trPr>
        <w:tc>
          <w:tcPr>
            <w:tcW w:type="dxa" w:w="2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级别</w:t>
            </w:r>
          </w:p>
        </w:tc>
        <w:tc>
          <w:tcPr>
            <w:tcW w:type="dxa" w:w="6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处置</w:t>
            </w:r>
          </w:p>
        </w:tc>
      </w:tr>
      <w:tr>
        <w:trPr>
          <w:cantSplit/>
        </w:trPr>
        <w:tc>
          <w:tcPr>
            <w:tcW w:type="dxa" w:w="2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Critical/在利用</w:t>
            </w:r>
          </w:p>
        </w:tc>
        <w:tc>
          <w:tcPr>
            <w:tcW w:type="dxa" w:w="6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24 小时内缓解，72 小时内修复或管理层批准</w:t>
            </w:r>
          </w:p>
        </w:tc>
      </w:tr>
      <w:tr>
        <w:trPr>
          <w:cantSplit/>
        </w:trPr>
        <w:tc>
          <w:tcPr>
            <w:tcW w:type="dxa" w:w="2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High</w:t>
            </w:r>
          </w:p>
        </w:tc>
        <w:tc>
          <w:tcPr>
            <w:tcW w:type="dxa" w:w="6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7 天</w:t>
            </w:r>
          </w:p>
        </w:tc>
      </w:tr>
      <w:tr>
        <w:trPr>
          <w:cantSplit/>
        </w:trPr>
        <w:tc>
          <w:tcPr>
            <w:tcW w:type="dxa" w:w="2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Medium</w:t>
            </w:r>
          </w:p>
        </w:tc>
        <w:tc>
          <w:tcPr>
            <w:tcW w:type="dxa" w:w="6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30 天</w:t>
            </w:r>
          </w:p>
        </w:tc>
      </w:tr>
      <w:tr>
        <w:trPr>
          <w:cantSplit/>
        </w:trPr>
        <w:tc>
          <w:tcPr>
            <w:tcW w:type="dxa" w:w="2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Low</w:t>
            </w:r>
          </w:p>
        </w:tc>
        <w:tc>
          <w:tcPr>
            <w:tcW w:type="dxa" w:w="6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90 天</w:t>
            </w:r>
          </w:p>
        </w:tc>
      </w:tr>
    </w:tbl>
    <w:p>
      <w:pPr>
        <w:spacing w:before="0" w:after="40"/>
      </w:pPr>
    </w:p>
    <w:p>
      <w:r>
        <w:t>结合暴露面、数据、可利用性调整。无法及时修复时实施 WAF、关闭能力、隔离、轮换密钥等补偿。</w:t>
      </w:r>
    </w:p>
    <w:p>
      <w:pPr>
        <w:pStyle w:val="Heading2"/>
      </w:pPr>
      <w:r>
        <w:t>15.3 渗透</w:t>
      </w:r>
    </w:p>
    <w:p>
      <w:pPr>
        <w:pStyle w:val="ListBullet"/>
        <w:numPr>
          <w:ilvl w:val="0"/>
          <w:numId w:val="10"/>
        </w:numPr>
      </w:pPr>
      <w:r>
        <w:t>商业上线前；</w:t>
      </w:r>
    </w:p>
    <w:p>
      <w:pPr>
        <w:pStyle w:val="ListBullet"/>
        <w:numPr>
          <w:ilvl w:val="0"/>
          <w:numId w:val="10"/>
        </w:numPr>
      </w:pPr>
      <w:r>
        <w:t>每年至少一次；</w:t>
      </w:r>
    </w:p>
    <w:p>
      <w:pPr>
        <w:pStyle w:val="ListBullet"/>
        <w:numPr>
          <w:ilvl w:val="0"/>
          <w:numId w:val="10"/>
        </w:numPr>
      </w:pPr>
      <w:r>
        <w:t>重大架构/支付/开放平台变更后；</w:t>
      </w:r>
    </w:p>
    <w:p>
      <w:pPr>
        <w:pStyle w:val="ListBullet"/>
        <w:numPr>
          <w:ilvl w:val="0"/>
          <w:numId w:val="10"/>
        </w:numPr>
      </w:pPr>
      <w:r>
        <w:t>覆盖 Web、API、Android、租户隔离、连接器、Webhook；</w:t>
      </w:r>
    </w:p>
    <w:p>
      <w:pPr>
        <w:pStyle w:val="ListBullet"/>
        <w:numPr>
          <w:ilvl w:val="0"/>
          <w:numId w:val="10"/>
        </w:numPr>
      </w:pPr>
      <w:r>
        <w:t>修复后复测；</w:t>
      </w:r>
    </w:p>
    <w:p>
      <w:pPr>
        <w:pStyle w:val="ListBullet"/>
        <w:numPr>
          <w:ilvl w:val="0"/>
          <w:numId w:val="10"/>
        </w:numPr>
      </w:pPr>
      <w:r>
        <w:t>报告脱敏和严格访问。</w:t>
      </w:r>
    </w:p>
    <w:p>
      <w:pPr>
        <w:pStyle w:val="Heading1"/>
      </w:pPr>
      <w:r>
        <w:t>十六、备份策略</w:t>
      </w:r>
    </w:p>
    <w:p>
      <w:pPr>
        <w:pStyle w:val="Heading2"/>
      </w:pPr>
      <w:r>
        <w:t>16.1 目标</w:t>
      </w:r>
    </w:p>
    <w:p>
      <w:r>
        <w:t>采用 3-2-1-1-0 思路：</w:t>
      </w:r>
    </w:p>
    <w:p>
      <w:pPr>
        <w:pStyle w:val="ListBullet"/>
        <w:numPr>
          <w:ilvl w:val="0"/>
          <w:numId w:val="10"/>
        </w:numPr>
      </w:pPr>
      <w:r>
        <w:t>至少 3 份数据；</w:t>
      </w:r>
    </w:p>
    <w:p>
      <w:pPr>
        <w:pStyle w:val="ListBullet"/>
        <w:numPr>
          <w:ilvl w:val="0"/>
          <w:numId w:val="10"/>
        </w:numPr>
      </w:pPr>
      <w:r>
        <w:t>2 种介质/独立故障域；</w:t>
      </w:r>
    </w:p>
    <w:p>
      <w:pPr>
        <w:pStyle w:val="ListBullet"/>
        <w:numPr>
          <w:ilvl w:val="0"/>
          <w:numId w:val="10"/>
        </w:numPr>
      </w:pPr>
      <w:r>
        <w:t>1 份异地；</w:t>
      </w:r>
    </w:p>
    <w:p>
      <w:pPr>
        <w:pStyle w:val="ListBullet"/>
        <w:numPr>
          <w:ilvl w:val="0"/>
          <w:numId w:val="10"/>
        </w:numPr>
      </w:pPr>
      <w:r>
        <w:t>1 份不可变/离线；</w:t>
      </w:r>
    </w:p>
    <w:p>
      <w:pPr>
        <w:pStyle w:val="ListBullet"/>
        <w:numPr>
          <w:ilvl w:val="0"/>
          <w:numId w:val="10"/>
        </w:numPr>
      </w:pPr>
      <w:r>
        <w:t>通过恢复验证达到 0 个未解决错误。</w:t>
      </w:r>
    </w:p>
    <w:p>
      <w:pPr>
        <w:pStyle w:val="Heading2"/>
      </w:pPr>
      <w:r>
        <w:t>16.2 备份对象</w:t>
      </w:r>
    </w:p>
    <w:p>
      <w:pPr>
        <w:pStyle w:val="ListBullet"/>
        <w:numPr>
          <w:ilvl w:val="0"/>
          <w:numId w:val="10"/>
        </w:numPr>
      </w:pPr>
      <w:r>
        <w:t>MySQL 全量、增量/binlog；</w:t>
      </w:r>
    </w:p>
    <w:p>
      <w:pPr>
        <w:pStyle w:val="ListBullet"/>
        <w:numPr>
          <w:ilvl w:val="0"/>
          <w:numId w:val="10"/>
        </w:numPr>
      </w:pPr>
      <w:r>
        <w:t>对象存储；</w:t>
      </w:r>
    </w:p>
    <w:p>
      <w:pPr>
        <w:pStyle w:val="ListBullet"/>
        <w:numPr>
          <w:ilvl w:val="0"/>
          <w:numId w:val="10"/>
        </w:numPr>
      </w:pPr>
      <w:r>
        <w:t>配置、Schema、迁移脚本；</w:t>
      </w:r>
    </w:p>
    <w:p>
      <w:pPr>
        <w:pStyle w:val="ListBullet"/>
        <w:numPr>
          <w:ilvl w:val="0"/>
          <w:numId w:val="10"/>
        </w:numPr>
      </w:pPr>
      <w:r>
        <w:t>密钥元数据与独立密钥恢复材料；</w:t>
      </w:r>
    </w:p>
    <w:p>
      <w:pPr>
        <w:pStyle w:val="ListBullet"/>
        <w:numPr>
          <w:ilvl w:val="0"/>
          <w:numId w:val="10"/>
        </w:numPr>
      </w:pPr>
      <w:r>
        <w:t>审计日志；</w:t>
      </w:r>
    </w:p>
    <w:p>
      <w:pPr>
        <w:pStyle w:val="ListBullet"/>
        <w:numPr>
          <w:ilvl w:val="0"/>
          <w:numId w:val="10"/>
        </w:numPr>
      </w:pPr>
      <w:r>
        <w:t>CI/CD 和 IaC；</w:t>
      </w:r>
    </w:p>
    <w:p>
      <w:pPr>
        <w:pStyle w:val="ListBullet"/>
        <w:numPr>
          <w:ilvl w:val="0"/>
          <w:numId w:val="10"/>
        </w:numPr>
      </w:pPr>
      <w:r>
        <w:t>连接器映射/原文；</w:t>
      </w:r>
    </w:p>
    <w:p>
      <w:pPr>
        <w:pStyle w:val="ListBullet"/>
        <w:numPr>
          <w:ilvl w:val="0"/>
          <w:numId w:val="10"/>
        </w:numPr>
      </w:pPr>
      <w:r>
        <w:t>设备/应用注册；</w:t>
      </w:r>
    </w:p>
    <w:p>
      <w:pPr>
        <w:pStyle w:val="ListBullet"/>
        <w:numPr>
          <w:ilvl w:val="0"/>
          <w:numId w:val="10"/>
        </w:numPr>
      </w:pPr>
      <w:r>
        <w:t>业务报表定义。</w:t>
      </w:r>
    </w:p>
    <w:p>
      <w:r>
        <w:t>Redis 缓存不作为恢复事实，但其配置和必要持久化策略记录。</w:t>
      </w:r>
    </w:p>
    <w:p>
      <w:pPr>
        <w:pStyle w:val="Heading2"/>
      </w:pPr>
      <w:r>
        <w:t>16.3 频率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036"/>
        <w:gridCol w:w="6324"/>
      </w:tblGrid>
      <w:tr>
        <w:trPr>
          <w:cantSplit/>
          <w:tblHeader w:val="true"/>
        </w:trPr>
        <w:tc>
          <w:tcPr>
            <w:tcW w:type="dxa" w:w="3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对象</w:t>
            </w:r>
          </w:p>
        </w:tc>
        <w:tc>
          <w:tcPr>
            <w:tcW w:type="dxa" w:w="6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建议</w:t>
            </w:r>
          </w:p>
        </w:tc>
      </w:tr>
      <w:tr>
        <w:trPr>
          <w:cantSplit/>
        </w:trPr>
        <w:tc>
          <w:tcPr>
            <w:tcW w:type="dxa" w:w="3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MySQL PITR</w:t>
            </w:r>
          </w:p>
        </w:tc>
        <w:tc>
          <w:tcPr>
            <w:tcW w:type="dxa" w:w="6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连续 binlog，RPO 5 分钟内</w:t>
            </w:r>
          </w:p>
        </w:tc>
      </w:tr>
      <w:tr>
        <w:trPr>
          <w:cantSplit/>
        </w:trPr>
        <w:tc>
          <w:tcPr>
            <w:tcW w:type="dxa" w:w="3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MySQL 全量</w:t>
            </w:r>
          </w:p>
        </w:tc>
        <w:tc>
          <w:tcPr>
            <w:tcW w:type="dxa" w:w="6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每日</w:t>
            </w:r>
          </w:p>
        </w:tc>
      </w:tr>
      <w:tr>
        <w:trPr>
          <w:cantSplit/>
        </w:trPr>
        <w:tc>
          <w:tcPr>
            <w:tcW w:type="dxa" w:w="3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对象存储</w:t>
            </w:r>
          </w:p>
        </w:tc>
        <w:tc>
          <w:tcPr>
            <w:tcW w:type="dxa" w:w="6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版本化 + 跨域复制</w:t>
            </w:r>
          </w:p>
        </w:tc>
      </w:tr>
      <w:tr>
        <w:trPr>
          <w:cantSplit/>
        </w:trPr>
        <w:tc>
          <w:tcPr>
            <w:tcW w:type="dxa" w:w="3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配置/IaC</w:t>
            </w:r>
          </w:p>
        </w:tc>
        <w:tc>
          <w:tcPr>
            <w:tcW w:type="dxa" w:w="6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每次变更 + 每日快照</w:t>
            </w:r>
          </w:p>
        </w:tc>
      </w:tr>
      <w:tr>
        <w:trPr>
          <w:cantSplit/>
        </w:trPr>
        <w:tc>
          <w:tcPr>
            <w:tcW w:type="dxa" w:w="3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审计日志</w:t>
            </w:r>
          </w:p>
        </w:tc>
        <w:tc>
          <w:tcPr>
            <w:tcW w:type="dxa" w:w="6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实时集中 + 不可变归档</w:t>
            </w:r>
          </w:p>
        </w:tc>
      </w:tr>
      <w:tr>
        <w:trPr>
          <w:cantSplit/>
        </w:trPr>
        <w:tc>
          <w:tcPr>
            <w:tcW w:type="dxa" w:w="3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密钥恢复材料</w:t>
            </w:r>
          </w:p>
        </w:tc>
        <w:tc>
          <w:tcPr>
            <w:tcW w:type="dxa" w:w="6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每次轮换 + 双人保管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16.4 保护</w:t>
      </w:r>
    </w:p>
    <w:p>
      <w:pPr>
        <w:pStyle w:val="ListBullet"/>
        <w:numPr>
          <w:ilvl w:val="0"/>
          <w:numId w:val="10"/>
        </w:numPr>
      </w:pPr>
      <w:r>
        <w:t>加密；</w:t>
      </w:r>
    </w:p>
    <w:p>
      <w:pPr>
        <w:pStyle w:val="ListBullet"/>
        <w:numPr>
          <w:ilvl w:val="0"/>
          <w:numId w:val="10"/>
        </w:numPr>
      </w:pPr>
      <w:r>
        <w:t>备份账号独立；</w:t>
      </w:r>
    </w:p>
    <w:p>
      <w:pPr>
        <w:pStyle w:val="ListBullet"/>
        <w:numPr>
          <w:ilvl w:val="0"/>
          <w:numId w:val="10"/>
        </w:numPr>
      </w:pPr>
      <w:r>
        <w:t>生产删除权限不能删除不可变备份；</w:t>
      </w:r>
    </w:p>
    <w:p>
      <w:pPr>
        <w:pStyle w:val="ListBullet"/>
        <w:numPr>
          <w:ilvl w:val="0"/>
          <w:numId w:val="10"/>
        </w:numPr>
      </w:pPr>
      <w:r>
        <w:t>保留锁；</w:t>
      </w:r>
    </w:p>
    <w:p>
      <w:pPr>
        <w:pStyle w:val="ListBullet"/>
        <w:numPr>
          <w:ilvl w:val="0"/>
          <w:numId w:val="10"/>
        </w:numPr>
      </w:pPr>
      <w:r>
        <w:t>跨账号/跨区域；</w:t>
      </w:r>
    </w:p>
    <w:p>
      <w:pPr>
        <w:pStyle w:val="ListBullet"/>
        <w:numPr>
          <w:ilvl w:val="0"/>
          <w:numId w:val="10"/>
        </w:numPr>
      </w:pPr>
      <w:r>
        <w:t>恶意软件扫描；</w:t>
      </w:r>
    </w:p>
    <w:p>
      <w:pPr>
        <w:pStyle w:val="ListBullet"/>
        <w:numPr>
          <w:ilvl w:val="0"/>
          <w:numId w:val="10"/>
        </w:numPr>
      </w:pPr>
      <w:r>
        <w:t>备份清单和哈希；</w:t>
      </w:r>
    </w:p>
    <w:p>
      <w:pPr>
        <w:pStyle w:val="ListBullet"/>
        <w:numPr>
          <w:ilvl w:val="0"/>
          <w:numId w:val="10"/>
        </w:numPr>
      </w:pPr>
      <w:r>
        <w:t>到期受控销毁。</w:t>
      </w:r>
    </w:p>
    <w:p>
      <w:pPr>
        <w:pStyle w:val="Heading2"/>
      </w:pPr>
      <w:r>
        <w:t>16.5 恢复验证</w:t>
      </w:r>
    </w:p>
    <w:p>
      <w:pPr>
        <w:pStyle w:val="ListBullet"/>
        <w:numPr>
          <w:ilvl w:val="0"/>
          <w:numId w:val="10"/>
        </w:numPr>
      </w:pPr>
      <w:r>
        <w:t>每月抽样恢复。</w:t>
      </w:r>
    </w:p>
    <w:p>
      <w:pPr>
        <w:pStyle w:val="ListBullet"/>
        <w:numPr>
          <w:ilvl w:val="0"/>
          <w:numId w:val="10"/>
        </w:numPr>
      </w:pPr>
      <w:r>
        <w:t>每季度数据库完整恢复。</w:t>
      </w:r>
    </w:p>
    <w:p>
      <w:pPr>
        <w:pStyle w:val="ListBullet"/>
        <w:numPr>
          <w:ilvl w:val="0"/>
          <w:numId w:val="10"/>
        </w:numPr>
      </w:pPr>
      <w:r>
        <w:t>每半年跨区域灾备演练。</w:t>
      </w:r>
    </w:p>
    <w:p>
      <w:pPr>
        <w:pStyle w:val="ListBullet"/>
        <w:numPr>
          <w:ilvl w:val="0"/>
          <w:numId w:val="10"/>
        </w:numPr>
      </w:pPr>
      <w:r>
        <w:t>恢复后执行业务对账、租户隔离和安全校验。</w:t>
      </w:r>
    </w:p>
    <w:p>
      <w:pPr>
        <w:pStyle w:val="ListBullet"/>
        <w:numPr>
          <w:ilvl w:val="0"/>
          <w:numId w:val="10"/>
        </w:numPr>
      </w:pPr>
      <w:r>
        <w:t>记录实际 RTO/RPO。</w:t>
      </w:r>
    </w:p>
    <w:p>
      <w:pPr>
        <w:pStyle w:val="ListBullet"/>
        <w:numPr>
          <w:ilvl w:val="0"/>
          <w:numId w:val="10"/>
        </w:numPr>
      </w:pPr>
      <w:r>
        <w:t>不能恢复的备份等同备份失败。</w:t>
      </w:r>
    </w:p>
    <w:p>
      <w:pPr>
        <w:pStyle w:val="Heading1"/>
      </w:pPr>
      <w:r>
        <w:t>十七、高可用与灾备</w:t>
      </w:r>
    </w:p>
    <w:p>
      <w:pPr>
        <w:pStyle w:val="Heading2"/>
      </w:pPr>
      <w:r>
        <w:t>17.1 故障层级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90"/>
        <w:gridCol w:w="3019"/>
        <w:gridCol w:w="4251"/>
      </w:tblGrid>
      <w:tr>
        <w:trPr>
          <w:cantSplit/>
          <w:tblHeader w:val="true"/>
        </w:trPr>
        <w:tc>
          <w:tcPr>
            <w:tcW w:type="dxa" w:w="2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层级</w:t>
            </w:r>
          </w:p>
        </w:tc>
        <w:tc>
          <w:tcPr>
            <w:tcW w:type="dxa" w:w="3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示例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策略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组件</w:t>
            </w:r>
          </w:p>
        </w:tc>
        <w:tc>
          <w:tcPr>
            <w:tcW w:type="dxa" w:w="3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单实例、进程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多实例/自动重启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节点</w:t>
            </w:r>
          </w:p>
        </w:tc>
        <w:tc>
          <w:tcPr>
            <w:tcW w:type="dxa" w:w="3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VM/宿主机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跨节点调度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可用区</w:t>
            </w:r>
          </w:p>
        </w:tc>
        <w:tc>
          <w:tcPr>
            <w:tcW w:type="dxa" w:w="3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AZ 故障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多 AZ 应用和数据库主备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区域</w:t>
            </w:r>
          </w:p>
        </w:tc>
        <w:tc>
          <w:tcPr>
            <w:tcW w:type="dxa" w:w="3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云 Region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异地备份/冷暖备恢复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逻辑</w:t>
            </w:r>
          </w:p>
        </w:tc>
        <w:tc>
          <w:tcPr>
            <w:tcW w:type="dxa" w:w="3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误删、勒索、坏发布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PITR、不可变备份、回滚</w:t>
            </w:r>
          </w:p>
        </w:tc>
      </w:tr>
      <w:tr>
        <w:trPr>
          <w:cantSplit/>
        </w:trPr>
        <w:tc>
          <w:tcPr>
            <w:tcW w:type="dxa" w:w="2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终端网络</w:t>
            </w:r>
          </w:p>
        </w:tc>
        <w:tc>
          <w:tcPr>
            <w:tcW w:type="dxa" w:w="3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门店断网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 离线营业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17.2 服务等级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3"/>
        <w:gridCol w:w="2830"/>
        <w:gridCol w:w="2794"/>
        <w:gridCol w:w="2233"/>
      </w:tblGrid>
      <w:tr>
        <w:trPr>
          <w:cantSplit/>
          <w:tblHeader w:val="true"/>
        </w:trPr>
        <w:tc>
          <w:tcPr>
            <w:tcW w:type="dxa" w:w="1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等级</w:t>
            </w:r>
          </w:p>
        </w:tc>
        <w:tc>
          <w:tcPr>
            <w:tcW w:type="dxa" w:w="2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系统</w:t>
            </w:r>
          </w:p>
        </w:tc>
        <w:tc>
          <w:tcPr>
            <w:tcW w:type="dxa" w:w="2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同区域 RTO/RPO</w:t>
            </w:r>
          </w:p>
        </w:tc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区域灾难 RTO/RPO</w:t>
            </w:r>
          </w:p>
        </w:tc>
      </w:tr>
      <w:tr>
        <w:trPr>
          <w:cantSplit/>
        </w:trPr>
        <w:tc>
          <w:tcPr>
            <w:tcW w:type="dxa" w:w="1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T0</w:t>
            </w:r>
          </w:p>
        </w:tc>
        <w:tc>
          <w:tcPr>
            <w:tcW w:type="dxa" w:w="2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订单、支付引用、退款、同步</w:t>
            </w:r>
          </w:p>
        </w:tc>
        <w:tc>
          <w:tcPr>
            <w:tcW w:type="dxa" w:w="2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30 分钟 / 5 分钟</w:t>
            </w:r>
          </w:p>
        </w:tc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4 小时 / 1 小时</w:t>
            </w:r>
          </w:p>
        </w:tc>
      </w:tr>
      <w:tr>
        <w:trPr>
          <w:cantSplit/>
        </w:trPr>
        <w:tc>
          <w:tcPr>
            <w:tcW w:type="dxa" w:w="1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T1</w:t>
            </w:r>
          </w:p>
        </w:tc>
        <w:tc>
          <w:tcPr>
            <w:tcW w:type="dxa" w:w="2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库存、价格、促销、会员权益</w:t>
            </w:r>
          </w:p>
        </w:tc>
        <w:tc>
          <w:tcPr>
            <w:tcW w:type="dxa" w:w="2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1 小时 / 15 分钟</w:t>
            </w:r>
          </w:p>
        </w:tc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8 小时 / 4 小时</w:t>
            </w:r>
          </w:p>
        </w:tc>
      </w:tr>
      <w:tr>
        <w:trPr>
          <w:cantSplit/>
        </w:trPr>
        <w:tc>
          <w:tcPr>
            <w:tcW w:type="dxa" w:w="1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T2</w:t>
            </w:r>
          </w:p>
        </w:tc>
        <w:tc>
          <w:tcPr>
            <w:tcW w:type="dxa" w:w="2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后台、报表、连接器非交易任务</w:t>
            </w:r>
          </w:p>
        </w:tc>
        <w:tc>
          <w:tcPr>
            <w:tcW w:type="dxa" w:w="2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4 小时 / 1 小时</w:t>
            </w:r>
          </w:p>
        </w:tc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24 小时 / 24 小时</w:t>
            </w:r>
          </w:p>
        </w:tc>
      </w:tr>
      <w:tr>
        <w:trPr>
          <w:cantSplit/>
        </w:trPr>
        <w:tc>
          <w:tcPr>
            <w:tcW w:type="dxa" w:w="1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T3</w:t>
            </w:r>
          </w:p>
        </w:tc>
        <w:tc>
          <w:tcPr>
            <w:tcW w:type="dxa" w:w="2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历史分析/低优先辅助</w:t>
            </w:r>
          </w:p>
        </w:tc>
        <w:tc>
          <w:tcPr>
            <w:tcW w:type="dxa" w:w="2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24 小时 / 24 小时</w:t>
            </w:r>
          </w:p>
        </w:tc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72 小时 / 24 小时</w:t>
            </w:r>
          </w:p>
        </w:tc>
      </w:tr>
    </w:tbl>
    <w:p>
      <w:pPr>
        <w:spacing w:before="0" w:after="40"/>
      </w:pPr>
    </w:p>
    <w:p>
      <w:r>
        <w:t>合同如更严，基础设施和成本需对应升级。RTO/RPO 只有在演练通过后才能对外承诺。</w:t>
      </w:r>
    </w:p>
    <w:p>
      <w:pPr>
        <w:pStyle w:val="Heading2"/>
      </w:pPr>
      <w:r>
        <w:t>17.3 同区域高可用</w:t>
      </w:r>
    </w:p>
    <w:p>
      <w:pPr>
        <w:pStyle w:val="ListBullet"/>
        <w:numPr>
          <w:ilvl w:val="0"/>
          <w:numId w:val="10"/>
        </w:numPr>
      </w:pPr>
      <w:r>
        <w:t>Gateway/应用多实例；</w:t>
      </w:r>
    </w:p>
    <w:p>
      <w:pPr>
        <w:pStyle w:val="ListBullet"/>
        <w:numPr>
          <w:ilvl w:val="0"/>
          <w:numId w:val="10"/>
        </w:numPr>
      </w:pPr>
      <w:r>
        <w:t>无状态会话或可恢复会话；</w:t>
      </w:r>
    </w:p>
    <w:p>
      <w:pPr>
        <w:pStyle w:val="ListBullet"/>
        <w:numPr>
          <w:ilvl w:val="0"/>
          <w:numId w:val="10"/>
        </w:numPr>
      </w:pPr>
      <w:r>
        <w:t>MySQL 同区域多 AZ 主备；</w:t>
      </w:r>
    </w:p>
    <w:p>
      <w:pPr>
        <w:pStyle w:val="ListBullet"/>
        <w:numPr>
          <w:ilvl w:val="0"/>
          <w:numId w:val="10"/>
        </w:numPr>
      </w:pPr>
      <w:r>
        <w:t>Redis 高可用但缓存可重建；</w:t>
      </w:r>
    </w:p>
    <w:p>
      <w:pPr>
        <w:pStyle w:val="ListBullet"/>
        <w:numPr>
          <w:ilvl w:val="0"/>
          <w:numId w:val="10"/>
        </w:numPr>
      </w:pPr>
      <w:r>
        <w:t>MQ/任务高可用；</w:t>
      </w:r>
    </w:p>
    <w:p>
      <w:pPr>
        <w:pStyle w:val="ListBullet"/>
        <w:numPr>
          <w:ilvl w:val="0"/>
          <w:numId w:val="10"/>
        </w:numPr>
      </w:pPr>
      <w:r>
        <w:t>对象存储多副本；</w:t>
      </w:r>
    </w:p>
    <w:p>
      <w:pPr>
        <w:pStyle w:val="ListBullet"/>
        <w:numPr>
          <w:ilvl w:val="0"/>
          <w:numId w:val="10"/>
        </w:numPr>
      </w:pPr>
      <w:r>
        <w:t>健康检查、熔断、限流；</w:t>
      </w:r>
    </w:p>
    <w:p>
      <w:pPr>
        <w:pStyle w:val="ListBullet"/>
        <w:numPr>
          <w:ilvl w:val="0"/>
          <w:numId w:val="10"/>
        </w:numPr>
      </w:pPr>
      <w:r>
        <w:t>部署跨故障域；</w:t>
      </w:r>
    </w:p>
    <w:p>
      <w:pPr>
        <w:pStyle w:val="ListBullet"/>
        <w:numPr>
          <w:ilvl w:val="0"/>
          <w:numId w:val="10"/>
        </w:numPr>
      </w:pPr>
      <w:r>
        <w:t>容量预留 N+1。</w:t>
      </w:r>
    </w:p>
    <w:p>
      <w:pPr>
        <w:pStyle w:val="Heading2"/>
      </w:pPr>
      <w:r>
        <w:t>17.4 区域灾难</w:t>
      </w:r>
    </w:p>
    <w:p>
      <w:r>
        <w:t>商业 V1 建议暖备/可编排冷备：</w:t>
      </w:r>
    </w:p>
    <w:p>
      <w:pPr>
        <w:pStyle w:val="ListBullet"/>
        <w:numPr>
          <w:ilvl w:val="0"/>
          <w:numId w:val="10"/>
        </w:numPr>
      </w:pPr>
      <w:r>
        <w:t>IaC 可在备用区域重建；</w:t>
      </w:r>
    </w:p>
    <w:p>
      <w:pPr>
        <w:pStyle w:val="ListBullet"/>
        <w:numPr>
          <w:ilvl w:val="0"/>
          <w:numId w:val="10"/>
        </w:numPr>
      </w:pPr>
      <w:r>
        <w:t>加密跨区域备份；</w:t>
      </w:r>
    </w:p>
    <w:p>
      <w:pPr>
        <w:pStyle w:val="ListBullet"/>
        <w:numPr>
          <w:ilvl w:val="0"/>
          <w:numId w:val="10"/>
        </w:numPr>
      </w:pPr>
      <w:r>
        <w:t>域名/DNS/证书预案；</w:t>
      </w:r>
    </w:p>
    <w:p>
      <w:pPr>
        <w:pStyle w:val="ListBullet"/>
        <w:numPr>
          <w:ilvl w:val="0"/>
          <w:numId w:val="10"/>
        </w:numPr>
      </w:pPr>
      <w:r>
        <w:t>密钥和 secret 可恢复；</w:t>
      </w:r>
    </w:p>
    <w:p>
      <w:pPr>
        <w:pStyle w:val="ListBullet"/>
        <w:numPr>
          <w:ilvl w:val="0"/>
          <w:numId w:val="10"/>
        </w:numPr>
      </w:pPr>
      <w:r>
        <w:t>外部支付/连接器 IP 白名单预先规划；</w:t>
      </w:r>
    </w:p>
    <w:p>
      <w:pPr>
        <w:pStyle w:val="ListBullet"/>
        <w:numPr>
          <w:ilvl w:val="0"/>
          <w:numId w:val="10"/>
        </w:numPr>
      </w:pPr>
      <w:r>
        <w:t>数据恢复顺序；</w:t>
      </w:r>
    </w:p>
    <w:p>
      <w:pPr>
        <w:pStyle w:val="ListBullet"/>
        <w:numPr>
          <w:ilvl w:val="0"/>
          <w:numId w:val="10"/>
        </w:numPr>
      </w:pPr>
      <w:r>
        <w:t>人工 Go 决策；</w:t>
      </w:r>
    </w:p>
    <w:p>
      <w:pPr>
        <w:pStyle w:val="ListBullet"/>
        <w:numPr>
          <w:ilvl w:val="0"/>
          <w:numId w:val="10"/>
        </w:numPr>
      </w:pPr>
      <w:r>
        <w:t>回切方案。</w:t>
      </w:r>
    </w:p>
    <w:p>
      <w:r>
        <w:t>不建议 V1 直接承诺跨区域双活交易，复杂度会显著增加资金/库存一致性风险。</w:t>
      </w:r>
    </w:p>
    <w:p>
      <w:pPr>
        <w:pStyle w:val="Heading2"/>
      </w:pPr>
      <w:r>
        <w:t>17.5 恢复顺序</w:t>
      </w:r>
    </w:p>
    <w:p>
      <w:pPr>
        <w:pStyle w:val="ListNumber"/>
        <w:numPr>
          <w:ilvl w:val="0"/>
          <w:numId w:val="11"/>
        </w:numPr>
      </w:pPr>
      <w:r>
        <w:t>安全与身份/KMS。</w:t>
      </w:r>
    </w:p>
    <w:p>
      <w:pPr>
        <w:pStyle w:val="ListNumber"/>
        <w:numPr>
          <w:ilvl w:val="0"/>
          <w:numId w:val="11"/>
        </w:numPr>
      </w:pPr>
      <w:r>
        <w:t>网络、DNS、Gateway。</w:t>
      </w:r>
    </w:p>
    <w:p>
      <w:pPr>
        <w:pStyle w:val="ListNumber"/>
        <w:numPr>
          <w:ilvl w:val="0"/>
          <w:numId w:val="11"/>
        </w:numPr>
      </w:pPr>
      <w:r>
        <w:t>MySQL 权威数据。</w:t>
      </w:r>
    </w:p>
    <w:p>
      <w:pPr>
        <w:pStyle w:val="ListNumber"/>
        <w:numPr>
          <w:ilvl w:val="0"/>
          <w:numId w:val="11"/>
        </w:numPr>
      </w:pPr>
      <w:r>
        <w:t>Order/Payment/Refund/Sync。</w:t>
      </w:r>
    </w:p>
    <w:p>
      <w:pPr>
        <w:pStyle w:val="ListNumber"/>
        <w:numPr>
          <w:ilvl w:val="0"/>
          <w:numId w:val="11"/>
        </w:numPr>
      </w:pPr>
      <w:r>
        <w:t>Inventory/Pricing/Promotion/Member。</w:t>
      </w:r>
    </w:p>
    <w:p>
      <w:pPr>
        <w:pStyle w:val="ListNumber"/>
        <w:numPr>
          <w:ilvl w:val="0"/>
          <w:numId w:val="11"/>
        </w:numPr>
      </w:pPr>
      <w:r>
        <w:t>Open API/Connector。</w:t>
      </w:r>
    </w:p>
    <w:p>
      <w:pPr>
        <w:pStyle w:val="ListNumber"/>
        <w:numPr>
          <w:ilvl w:val="0"/>
          <w:numId w:val="11"/>
        </w:numPr>
      </w:pPr>
      <w:r>
        <w:t>报表和低优先任务。</w:t>
      </w:r>
    </w:p>
    <w:p>
      <w:pPr>
        <w:pStyle w:val="ListNumber"/>
        <w:numPr>
          <w:ilvl w:val="0"/>
          <w:numId w:val="11"/>
        </w:numPr>
      </w:pPr>
      <w:r>
        <w:t>对账与积压追赶。</w:t>
      </w:r>
    </w:p>
    <w:p>
      <w:r>
        <w:t>恢复期间 POS 依据离线能力矩阵营业。</w:t>
      </w:r>
    </w:p>
    <w:p>
      <w:pPr>
        <w:pStyle w:val="Heading1"/>
      </w:pPr>
      <w:r>
        <w:t>十八、业务连续性</w:t>
      </w:r>
    </w:p>
    <w:p>
      <w:pPr>
        <w:pStyle w:val="Heading2"/>
      </w:pPr>
      <w:r>
        <w:t>18.1 门店</w:t>
      </w:r>
    </w:p>
    <w:p>
      <w:pPr>
        <w:pStyle w:val="ListBullet"/>
        <w:numPr>
          <w:ilvl w:val="0"/>
          <w:numId w:val="10"/>
        </w:numPr>
      </w:pPr>
      <w:r>
        <w:t>离线现金销售；</w:t>
      </w:r>
    </w:p>
    <w:p>
      <w:pPr>
        <w:pStyle w:val="ListBullet"/>
        <w:numPr>
          <w:ilvl w:val="0"/>
          <w:numId w:val="10"/>
        </w:numPr>
      </w:pPr>
      <w:r>
        <w:t>本地价格/促销包；</w:t>
      </w:r>
    </w:p>
    <w:p>
      <w:pPr>
        <w:pStyle w:val="ListBullet"/>
        <w:numPr>
          <w:ilvl w:val="0"/>
          <w:numId w:val="10"/>
        </w:numPr>
      </w:pPr>
      <w:r>
        <w:t>本地小票；</w:t>
      </w:r>
    </w:p>
    <w:p>
      <w:pPr>
        <w:pStyle w:val="ListBullet"/>
        <w:numPr>
          <w:ilvl w:val="0"/>
          <w:numId w:val="10"/>
        </w:numPr>
      </w:pPr>
      <w:r>
        <w:t>班次和库存差量；</w:t>
      </w:r>
    </w:p>
    <w:p>
      <w:pPr>
        <w:pStyle w:val="ListBullet"/>
        <w:numPr>
          <w:ilvl w:val="0"/>
          <w:numId w:val="10"/>
        </w:numPr>
      </w:pPr>
      <w:r>
        <w:t>未知电子支付处置；</w:t>
      </w:r>
    </w:p>
    <w:p>
      <w:pPr>
        <w:pStyle w:val="ListBullet"/>
        <w:numPr>
          <w:ilvl w:val="0"/>
          <w:numId w:val="10"/>
        </w:numPr>
      </w:pPr>
      <w:r>
        <w:t>网络恢复同步；</w:t>
      </w:r>
    </w:p>
    <w:p>
      <w:pPr>
        <w:pStyle w:val="ListBullet"/>
        <w:numPr>
          <w:ilvl w:val="0"/>
          <w:numId w:val="10"/>
        </w:numPr>
      </w:pPr>
      <w:r>
        <w:t>备用网络；</w:t>
      </w:r>
    </w:p>
    <w:p>
      <w:pPr>
        <w:pStyle w:val="ListBullet"/>
        <w:numPr>
          <w:ilvl w:val="0"/>
          <w:numId w:val="10"/>
        </w:numPr>
      </w:pPr>
      <w:r>
        <w:t>纸质/人工应急流程及补录控制。</w:t>
      </w:r>
    </w:p>
    <w:p>
      <w:pPr>
        <w:pStyle w:val="Heading2"/>
      </w:pPr>
      <w:r>
        <w:t>18.2 总部</w:t>
      </w:r>
    </w:p>
    <w:p>
      <w:pPr>
        <w:pStyle w:val="ListBullet"/>
        <w:numPr>
          <w:ilvl w:val="0"/>
          <w:numId w:val="10"/>
        </w:numPr>
      </w:pPr>
      <w:r>
        <w:t>状态页和通知；</w:t>
      </w:r>
    </w:p>
    <w:p>
      <w:pPr>
        <w:pStyle w:val="ListBullet"/>
        <w:numPr>
          <w:ilvl w:val="0"/>
          <w:numId w:val="10"/>
        </w:numPr>
      </w:pPr>
      <w:r>
        <w:t>退款/促销高风险操作暂停；</w:t>
      </w:r>
    </w:p>
    <w:p>
      <w:pPr>
        <w:pStyle w:val="ListBullet"/>
        <w:numPr>
          <w:ilvl w:val="0"/>
          <w:numId w:val="10"/>
        </w:numPr>
      </w:pPr>
      <w:r>
        <w:t>手工对账；</w:t>
      </w:r>
    </w:p>
    <w:p>
      <w:pPr>
        <w:pStyle w:val="ListBullet"/>
        <w:numPr>
          <w:ilvl w:val="0"/>
          <w:numId w:val="10"/>
        </w:numPr>
      </w:pPr>
      <w:r>
        <w:t>关键联系人和供应商；</w:t>
      </w:r>
    </w:p>
    <w:p>
      <w:pPr>
        <w:pStyle w:val="ListBullet"/>
        <w:numPr>
          <w:ilvl w:val="0"/>
          <w:numId w:val="10"/>
        </w:numPr>
      </w:pPr>
      <w:r>
        <w:t>备用办公/运维；</w:t>
      </w:r>
    </w:p>
    <w:p>
      <w:pPr>
        <w:pStyle w:val="ListBullet"/>
        <w:numPr>
          <w:ilvl w:val="0"/>
          <w:numId w:val="10"/>
        </w:numPr>
      </w:pPr>
      <w:r>
        <w:t>事件决策和媒体/客户沟通。</w:t>
      </w:r>
    </w:p>
    <w:p>
      <w:pPr>
        <w:pStyle w:val="Heading2"/>
      </w:pPr>
      <w:r>
        <w:t>18.3 依赖</w:t>
      </w:r>
    </w:p>
    <w:p>
      <w:r>
        <w:t>支付、云、DNS、短信、CDN、连接器和硬件供应商都需：</w:t>
      </w:r>
    </w:p>
    <w:p>
      <w:pPr>
        <w:pStyle w:val="ListBullet"/>
        <w:numPr>
          <w:ilvl w:val="0"/>
          <w:numId w:val="10"/>
        </w:numPr>
      </w:pPr>
      <w:r>
        <w:t>SLA；</w:t>
      </w:r>
    </w:p>
    <w:p>
      <w:pPr>
        <w:pStyle w:val="ListBullet"/>
        <w:numPr>
          <w:ilvl w:val="0"/>
          <w:numId w:val="10"/>
        </w:numPr>
      </w:pPr>
      <w:r>
        <w:t>状态监测；</w:t>
      </w:r>
    </w:p>
    <w:p>
      <w:pPr>
        <w:pStyle w:val="ListBullet"/>
        <w:numPr>
          <w:ilvl w:val="0"/>
          <w:numId w:val="10"/>
        </w:numPr>
      </w:pPr>
      <w:r>
        <w:t>联系人；</w:t>
      </w:r>
    </w:p>
    <w:p>
      <w:pPr>
        <w:pStyle w:val="ListBullet"/>
        <w:numPr>
          <w:ilvl w:val="0"/>
          <w:numId w:val="10"/>
        </w:numPr>
      </w:pPr>
      <w:r>
        <w:t>故障降级；</w:t>
      </w:r>
    </w:p>
    <w:p>
      <w:pPr>
        <w:pStyle w:val="ListBullet"/>
        <w:numPr>
          <w:ilvl w:val="0"/>
          <w:numId w:val="10"/>
        </w:numPr>
      </w:pPr>
      <w:r>
        <w:t>数据导出/迁移；</w:t>
      </w:r>
    </w:p>
    <w:p>
      <w:pPr>
        <w:pStyle w:val="ListBullet"/>
        <w:numPr>
          <w:ilvl w:val="0"/>
          <w:numId w:val="10"/>
        </w:numPr>
      </w:pPr>
      <w:r>
        <w:t>退出方案。</w:t>
      </w:r>
    </w:p>
    <w:p>
      <w:pPr>
        <w:pStyle w:val="Heading1"/>
      </w:pPr>
      <w:r>
        <w:t>十九、事件响应</w:t>
      </w:r>
    </w:p>
    <w:p>
      <w:pPr>
        <w:pStyle w:val="Heading2"/>
      </w:pPr>
      <w:r>
        <w:t>19.1 级别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72"/>
        <w:gridCol w:w="3700"/>
        <w:gridCol w:w="3688"/>
      </w:tblGrid>
      <w:tr>
        <w:trPr>
          <w:cantSplit/>
          <w:tblHeader w:val="true"/>
        </w:trPr>
        <w:tc>
          <w:tcPr>
            <w:tcW w:type="dxa" w:w="19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级别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示例</w:t>
            </w:r>
          </w:p>
        </w:tc>
        <w:tc>
          <w:tcPr>
            <w:tcW w:type="dxa" w:w="3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响应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P0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跨租户、大规模数据泄漏、重复扣款、核心不可恢复</w:t>
            </w:r>
          </w:p>
        </w:tc>
        <w:tc>
          <w:tcPr>
            <w:tcW w:type="dxa" w:w="3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立即启动最高级响应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P1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高危攻击、核心中断、密钥泄漏、备份不可用</w:t>
            </w:r>
          </w:p>
        </w:tc>
        <w:tc>
          <w:tcPr>
            <w:tcW w:type="dxa" w:w="3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15 分钟内响应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P2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局部功能、单租户重大异常</w:t>
            </w:r>
          </w:p>
        </w:tc>
        <w:tc>
          <w:tcPr>
            <w:tcW w:type="dxa" w:w="3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30 分钟内响应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P3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低影响安全缺陷</w:t>
            </w:r>
          </w:p>
        </w:tc>
        <w:tc>
          <w:tcPr>
            <w:tcW w:type="dxa" w:w="3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工作时间处理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19.2 流程</w:t>
      </w:r>
    </w:p>
    <w:p>
      <w:r>
        <w:t>准备 → 发现 → 分析 → 遏制 → 根除 → 恢复 → 通知 → 复盘。</w:t>
      </w:r>
    </w:p>
    <w:p>
      <w:pPr>
        <w:pStyle w:val="Heading2"/>
      </w:pPr>
      <w:r>
        <w:t>19.3 现场</w:t>
      </w:r>
    </w:p>
    <w:p>
      <w:pPr>
        <w:pStyle w:val="ListBullet"/>
        <w:numPr>
          <w:ilvl w:val="0"/>
          <w:numId w:val="10"/>
        </w:numPr>
      </w:pPr>
      <w:r>
        <w:t>不擅自删除证据。</w:t>
      </w:r>
    </w:p>
    <w:p>
      <w:pPr>
        <w:pStyle w:val="ListBullet"/>
        <w:numPr>
          <w:ilvl w:val="0"/>
          <w:numId w:val="10"/>
        </w:numPr>
      </w:pPr>
      <w:r>
        <w:t>记录时间线、操作人和命令。</w:t>
      </w:r>
    </w:p>
    <w:p>
      <w:pPr>
        <w:pStyle w:val="ListBullet"/>
        <w:numPr>
          <w:ilvl w:val="0"/>
          <w:numId w:val="10"/>
        </w:numPr>
      </w:pPr>
      <w:r>
        <w:t>保护日志、快照和哈希。</w:t>
      </w:r>
    </w:p>
    <w:p>
      <w:pPr>
        <w:pStyle w:val="ListBullet"/>
        <w:numPr>
          <w:ilvl w:val="0"/>
          <w:numId w:val="10"/>
        </w:numPr>
      </w:pPr>
      <w:r>
        <w:t>密钥轮换和隔离。</w:t>
      </w:r>
    </w:p>
    <w:p>
      <w:pPr>
        <w:pStyle w:val="ListBullet"/>
        <w:numPr>
          <w:ilvl w:val="0"/>
          <w:numId w:val="10"/>
        </w:numPr>
      </w:pPr>
      <w:r>
        <w:t>评估 tenant/个人/资金影响。</w:t>
      </w:r>
    </w:p>
    <w:p>
      <w:pPr>
        <w:pStyle w:val="ListBullet"/>
        <w:numPr>
          <w:ilvl w:val="0"/>
          <w:numId w:val="10"/>
        </w:numPr>
      </w:pPr>
      <w:r>
        <w:t>法务与隐私负责人判断通知义务和时限。</w:t>
      </w:r>
    </w:p>
    <w:p>
      <w:pPr>
        <w:pStyle w:val="ListBullet"/>
        <w:numPr>
          <w:ilvl w:val="0"/>
          <w:numId w:val="10"/>
        </w:numPr>
      </w:pPr>
      <w:r>
        <w:t>对客户事实透明但不未经批准推测。</w:t>
      </w:r>
    </w:p>
    <w:p>
      <w:pPr>
        <w:pStyle w:val="Heading2"/>
      </w:pPr>
      <w:r>
        <w:t>19.4 复盘</w:t>
      </w:r>
    </w:p>
    <w:p>
      <w:pPr>
        <w:pStyle w:val="ListBullet"/>
        <w:numPr>
          <w:ilvl w:val="0"/>
          <w:numId w:val="10"/>
        </w:numPr>
      </w:pPr>
      <w:r>
        <w:t>5 Whys/系统性原因；</w:t>
      </w:r>
    </w:p>
    <w:p>
      <w:pPr>
        <w:pStyle w:val="ListBullet"/>
        <w:numPr>
          <w:ilvl w:val="0"/>
          <w:numId w:val="10"/>
        </w:numPr>
      </w:pPr>
      <w:r>
        <w:t>检测为何未提前发现；</w:t>
      </w:r>
    </w:p>
    <w:p>
      <w:pPr>
        <w:pStyle w:val="ListBullet"/>
        <w:numPr>
          <w:ilvl w:val="0"/>
          <w:numId w:val="10"/>
        </w:numPr>
      </w:pPr>
      <w:r>
        <w:t>控制和测试缺口；</w:t>
      </w:r>
    </w:p>
    <w:p>
      <w:pPr>
        <w:pStyle w:val="ListBullet"/>
        <w:numPr>
          <w:ilvl w:val="0"/>
          <w:numId w:val="10"/>
        </w:numPr>
      </w:pPr>
      <w:r>
        <w:t>行动项、负责人和截止；</w:t>
      </w:r>
    </w:p>
    <w:p>
      <w:pPr>
        <w:pStyle w:val="ListBullet"/>
        <w:numPr>
          <w:ilvl w:val="0"/>
          <w:numId w:val="10"/>
        </w:numPr>
      </w:pPr>
      <w:r>
        <w:t>文档/Runbook/培训更新；</w:t>
      </w:r>
    </w:p>
    <w:p>
      <w:pPr>
        <w:pStyle w:val="ListBullet"/>
        <w:numPr>
          <w:ilvl w:val="0"/>
          <w:numId w:val="10"/>
        </w:numPr>
      </w:pPr>
      <w:r>
        <w:t>验证不会重现；</w:t>
      </w:r>
    </w:p>
    <w:p>
      <w:pPr>
        <w:pStyle w:val="ListBullet"/>
        <w:numPr>
          <w:ilvl w:val="0"/>
          <w:numId w:val="10"/>
        </w:numPr>
      </w:pPr>
      <w:r>
        <w:t>不以追责个人替代系统改进。</w:t>
      </w:r>
    </w:p>
    <w:p>
      <w:pPr>
        <w:pStyle w:val="Heading1"/>
      </w:pPr>
      <w:r>
        <w:t>二十、灾备演练</w:t>
      </w:r>
    </w:p>
    <w:p>
      <w:pPr>
        <w:pStyle w:val="Heading2"/>
      </w:pPr>
      <w:r>
        <w:t>20.1 场景</w:t>
      </w:r>
    </w:p>
    <w:p>
      <w:pPr>
        <w:pStyle w:val="ListNumber"/>
        <w:numPr>
          <w:ilvl w:val="0"/>
          <w:numId w:val="11"/>
        </w:numPr>
      </w:pPr>
      <w:r>
        <w:t>MySQL 主库故障。</w:t>
      </w:r>
    </w:p>
    <w:p>
      <w:pPr>
        <w:pStyle w:val="ListNumber"/>
        <w:numPr>
          <w:ilvl w:val="0"/>
          <w:numId w:val="11"/>
        </w:numPr>
      </w:pPr>
      <w:r>
        <w:t>误删租户数据。</w:t>
      </w:r>
    </w:p>
    <w:p>
      <w:pPr>
        <w:pStyle w:val="ListNumber"/>
        <w:numPr>
          <w:ilvl w:val="0"/>
          <w:numId w:val="11"/>
        </w:numPr>
      </w:pPr>
      <w:r>
        <w:t>勒索导致在线备份受损。</w:t>
      </w:r>
    </w:p>
    <w:p>
      <w:pPr>
        <w:pStyle w:val="ListNumber"/>
        <w:numPr>
          <w:ilvl w:val="0"/>
          <w:numId w:val="11"/>
        </w:numPr>
      </w:pPr>
      <w:r>
        <w:t>区域不可用。</w:t>
      </w:r>
    </w:p>
    <w:p>
      <w:pPr>
        <w:pStyle w:val="ListNumber"/>
        <w:numPr>
          <w:ilvl w:val="0"/>
          <w:numId w:val="11"/>
        </w:numPr>
      </w:pPr>
      <w:r>
        <w:t>KMS/证书故障。</w:t>
      </w:r>
    </w:p>
    <w:p>
      <w:pPr>
        <w:pStyle w:val="ListNumber"/>
        <w:numPr>
          <w:ilvl w:val="0"/>
          <w:numId w:val="11"/>
        </w:numPr>
      </w:pPr>
      <w:r>
        <w:t>DNS/CDN 故障。</w:t>
      </w:r>
    </w:p>
    <w:p>
      <w:pPr>
        <w:pStyle w:val="ListNumber"/>
        <w:numPr>
          <w:ilvl w:val="0"/>
          <w:numId w:val="11"/>
        </w:numPr>
      </w:pPr>
      <w:r>
        <w:t>消息积压。</w:t>
      </w:r>
    </w:p>
    <w:p>
      <w:pPr>
        <w:pStyle w:val="ListNumber"/>
        <w:numPr>
          <w:ilvl w:val="0"/>
          <w:numId w:val="11"/>
        </w:numPr>
      </w:pPr>
      <w:r>
        <w:t>支付渠道故障。</w:t>
      </w:r>
    </w:p>
    <w:p>
      <w:pPr>
        <w:pStyle w:val="ListNumber"/>
        <w:numPr>
          <w:ilvl w:val="0"/>
          <w:numId w:val="11"/>
        </w:numPr>
      </w:pPr>
      <w:r>
        <w:t>大面积门店断网。</w:t>
      </w:r>
    </w:p>
    <w:p>
      <w:pPr>
        <w:pStyle w:val="ListNumber"/>
        <w:numPr>
          <w:ilvl w:val="0"/>
          <w:numId w:val="11"/>
        </w:numPr>
      </w:pPr>
      <w:r>
        <w:t>POS 证书批量过期。</w:t>
      </w:r>
    </w:p>
    <w:p>
      <w:pPr>
        <w:pStyle w:val="Heading2"/>
      </w:pPr>
      <w:r>
        <w:t>20.2 验证</w:t>
      </w:r>
    </w:p>
    <w:p>
      <w:pPr>
        <w:pStyle w:val="ListBullet"/>
        <w:numPr>
          <w:ilvl w:val="0"/>
          <w:numId w:val="10"/>
        </w:numPr>
      </w:pPr>
      <w:r>
        <w:t>实际 RTO/RPO；</w:t>
      </w:r>
    </w:p>
    <w:p>
      <w:pPr>
        <w:pStyle w:val="ListBullet"/>
        <w:numPr>
          <w:ilvl w:val="0"/>
          <w:numId w:val="10"/>
        </w:numPr>
      </w:pPr>
      <w:r>
        <w:t>数据完整；</w:t>
      </w:r>
    </w:p>
    <w:p>
      <w:pPr>
        <w:pStyle w:val="ListBullet"/>
        <w:numPr>
          <w:ilvl w:val="0"/>
          <w:numId w:val="10"/>
        </w:numPr>
      </w:pPr>
      <w:r>
        <w:t>订单/支付/退款/库存对账；</w:t>
      </w:r>
    </w:p>
    <w:p>
      <w:pPr>
        <w:pStyle w:val="ListBullet"/>
        <w:numPr>
          <w:ilvl w:val="0"/>
          <w:numId w:val="10"/>
        </w:numPr>
      </w:pPr>
      <w:r>
        <w:t>租户隔离；</w:t>
      </w:r>
    </w:p>
    <w:p>
      <w:pPr>
        <w:pStyle w:val="ListBullet"/>
        <w:numPr>
          <w:ilvl w:val="0"/>
          <w:numId w:val="10"/>
        </w:numPr>
      </w:pPr>
      <w:r>
        <w:t>密钥和权限；</w:t>
      </w:r>
    </w:p>
    <w:p>
      <w:pPr>
        <w:pStyle w:val="ListBullet"/>
        <w:numPr>
          <w:ilvl w:val="0"/>
          <w:numId w:val="10"/>
        </w:numPr>
      </w:pPr>
      <w:r>
        <w:t>外部回调/连接器；</w:t>
      </w:r>
    </w:p>
    <w:p>
      <w:pPr>
        <w:pStyle w:val="ListBullet"/>
        <w:numPr>
          <w:ilvl w:val="0"/>
          <w:numId w:val="10"/>
        </w:numPr>
      </w:pPr>
      <w:r>
        <w:t>POS 恢复和积压；</w:t>
      </w:r>
    </w:p>
    <w:p>
      <w:pPr>
        <w:pStyle w:val="ListBullet"/>
        <w:numPr>
          <w:ilvl w:val="0"/>
          <w:numId w:val="10"/>
        </w:numPr>
      </w:pPr>
      <w:r>
        <w:t>状态页/通知；</w:t>
      </w:r>
    </w:p>
    <w:p>
      <w:pPr>
        <w:pStyle w:val="ListBullet"/>
        <w:numPr>
          <w:ilvl w:val="0"/>
          <w:numId w:val="10"/>
        </w:numPr>
      </w:pPr>
      <w:r>
        <w:t>回切；</w:t>
      </w:r>
    </w:p>
    <w:p>
      <w:pPr>
        <w:pStyle w:val="ListBullet"/>
        <w:numPr>
          <w:ilvl w:val="0"/>
          <w:numId w:val="10"/>
        </w:numPr>
      </w:pPr>
      <w:r>
        <w:t>证据。</w:t>
      </w:r>
    </w:p>
    <w:p>
      <w:r>
        <w:t>演练不能只做桌面推演；至少季度恢复测试、半年技术切换/异地恢复、年度全链路业务演练。</w:t>
      </w:r>
    </w:p>
    <w:p>
      <w:pPr>
        <w:pStyle w:val="Heading1"/>
      </w:pPr>
      <w:r>
        <w:t>二十一、安全验收</w:t>
      </w:r>
    </w:p>
    <w:p>
      <w:pPr>
        <w:pStyle w:val="Heading2"/>
      </w:pPr>
      <w:r>
        <w:t>21.1 上线门禁</w:t>
      </w:r>
    </w:p>
    <w:p>
      <w:pPr>
        <w:pStyle w:val="ListBullet"/>
        <w:numPr>
          <w:ilvl w:val="0"/>
          <w:numId w:val="10"/>
        </w:numPr>
      </w:pPr>
      <w:r>
        <w:t>资产/数据目录完整；</w:t>
      </w:r>
    </w:p>
    <w:p>
      <w:pPr>
        <w:pStyle w:val="ListBullet"/>
        <w:numPr>
          <w:ilvl w:val="0"/>
          <w:numId w:val="10"/>
        </w:numPr>
      </w:pPr>
      <w:r>
        <w:t>等保差距无未接受高风险；</w:t>
      </w:r>
    </w:p>
    <w:p>
      <w:pPr>
        <w:pStyle w:val="ListBullet"/>
        <w:numPr>
          <w:ilvl w:val="0"/>
          <w:numId w:val="10"/>
        </w:numPr>
      </w:pPr>
      <w:r>
        <w:t>tenant 隔离测试；</w:t>
      </w:r>
    </w:p>
    <w:p>
      <w:pPr>
        <w:pStyle w:val="ListBullet"/>
        <w:numPr>
          <w:ilvl w:val="0"/>
          <w:numId w:val="10"/>
        </w:numPr>
      </w:pPr>
      <w:r>
        <w:t>MFA/权限/离职流程；</w:t>
      </w:r>
    </w:p>
    <w:p>
      <w:pPr>
        <w:pStyle w:val="ListBullet"/>
        <w:numPr>
          <w:ilvl w:val="0"/>
          <w:numId w:val="10"/>
        </w:numPr>
      </w:pPr>
      <w:r>
        <w:t>Secret 0 明文；</w:t>
      </w:r>
    </w:p>
    <w:p>
      <w:pPr>
        <w:pStyle w:val="ListBullet"/>
        <w:numPr>
          <w:ilvl w:val="0"/>
          <w:numId w:val="10"/>
        </w:numPr>
      </w:pPr>
      <w:r>
        <w:t>SAST/SCA/DAST/渗透无未处置 Critical/High；</w:t>
      </w:r>
    </w:p>
    <w:p>
      <w:pPr>
        <w:pStyle w:val="ListBullet"/>
        <w:numPr>
          <w:ilvl w:val="0"/>
          <w:numId w:val="10"/>
        </w:numPr>
      </w:pPr>
      <w:r>
        <w:t>SBOM/制品签名；</w:t>
      </w:r>
    </w:p>
    <w:p>
      <w:pPr>
        <w:pStyle w:val="ListBullet"/>
        <w:numPr>
          <w:ilvl w:val="0"/>
          <w:numId w:val="10"/>
        </w:numPr>
      </w:pPr>
      <w:r>
        <w:t>备份恢复成功；</w:t>
      </w:r>
    </w:p>
    <w:p>
      <w:pPr>
        <w:pStyle w:val="ListBullet"/>
        <w:numPr>
          <w:ilvl w:val="0"/>
          <w:numId w:val="10"/>
        </w:numPr>
      </w:pPr>
      <w:r>
        <w:t>RTO/RPO 演练；</w:t>
      </w:r>
    </w:p>
    <w:p>
      <w:pPr>
        <w:pStyle w:val="ListBullet"/>
        <w:numPr>
          <w:ilvl w:val="0"/>
          <w:numId w:val="10"/>
        </w:numPr>
      </w:pPr>
      <w:r>
        <w:t>日志/告警/SIEM；</w:t>
      </w:r>
    </w:p>
    <w:p>
      <w:pPr>
        <w:pStyle w:val="ListBullet"/>
        <w:numPr>
          <w:ilvl w:val="0"/>
          <w:numId w:val="10"/>
        </w:numPr>
      </w:pPr>
      <w:r>
        <w:t>PIPIA 和隐私文档；</w:t>
      </w:r>
    </w:p>
    <w:p>
      <w:pPr>
        <w:pStyle w:val="ListBullet"/>
        <w:numPr>
          <w:ilvl w:val="0"/>
          <w:numId w:val="10"/>
        </w:numPr>
      </w:pPr>
      <w:r>
        <w:t>供应商评审；</w:t>
      </w:r>
    </w:p>
    <w:p>
      <w:pPr>
        <w:pStyle w:val="ListBullet"/>
        <w:numPr>
          <w:ilvl w:val="0"/>
          <w:numId w:val="10"/>
        </w:numPr>
      </w:pPr>
      <w:r>
        <w:t>事件响应演练；</w:t>
      </w:r>
    </w:p>
    <w:p>
      <w:pPr>
        <w:pStyle w:val="ListBullet"/>
        <w:numPr>
          <w:ilvl w:val="0"/>
          <w:numId w:val="10"/>
        </w:numPr>
      </w:pPr>
      <w:r>
        <w:t>支付范围确认；</w:t>
      </w:r>
    </w:p>
    <w:p>
      <w:pPr>
        <w:pStyle w:val="ListBullet"/>
        <w:numPr>
          <w:ilvl w:val="0"/>
          <w:numId w:val="10"/>
        </w:numPr>
      </w:pPr>
      <w:r>
        <w:t>Runbook 和联系人。</w:t>
      </w:r>
    </w:p>
    <w:p>
      <w:pPr>
        <w:pStyle w:val="Heading2"/>
      </w:pPr>
      <w:r>
        <w:t>21.2 持续频率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557"/>
        <w:gridCol w:w="5803"/>
      </w:tblGrid>
      <w:tr>
        <w:trPr>
          <w:cantSplit/>
          <w:tblHeader w:val="true"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控制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频率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高权限复核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每月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普通权限复核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每季度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漏洞扫描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每周/持续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依赖/镜像扫描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每次构建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恢复抽测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每月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数据库完整恢复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每季度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跨区域演练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每半年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渗透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每年及重大变更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隐私/数据目录复审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每半年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供应商复审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每年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等保持续整改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按要求/持续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21.3 证据包</w:t>
      </w:r>
    </w:p>
    <w:p>
      <w:pPr>
        <w:pStyle w:val="ListBullet"/>
        <w:numPr>
          <w:ilvl w:val="0"/>
          <w:numId w:val="10"/>
        </w:numPr>
      </w:pPr>
      <w:r>
        <w:t>合规适用矩阵；</w:t>
      </w:r>
    </w:p>
    <w:p>
      <w:pPr>
        <w:pStyle w:val="ListBullet"/>
        <w:numPr>
          <w:ilvl w:val="0"/>
          <w:numId w:val="10"/>
        </w:numPr>
      </w:pPr>
      <w:r>
        <w:t>控制台账；</w:t>
      </w:r>
    </w:p>
    <w:p>
      <w:pPr>
        <w:pStyle w:val="ListBullet"/>
        <w:numPr>
          <w:ilvl w:val="0"/>
          <w:numId w:val="10"/>
        </w:numPr>
      </w:pPr>
      <w:r>
        <w:t>风险登记；</w:t>
      </w:r>
    </w:p>
    <w:p>
      <w:pPr>
        <w:pStyle w:val="ListBullet"/>
        <w:numPr>
          <w:ilvl w:val="0"/>
          <w:numId w:val="10"/>
        </w:numPr>
      </w:pPr>
      <w:r>
        <w:t>配置截图/导出；</w:t>
      </w:r>
    </w:p>
    <w:p>
      <w:pPr>
        <w:pStyle w:val="ListBullet"/>
        <w:numPr>
          <w:ilvl w:val="0"/>
          <w:numId w:val="10"/>
        </w:numPr>
      </w:pPr>
      <w:r>
        <w:t>测试报告；</w:t>
      </w:r>
    </w:p>
    <w:p>
      <w:pPr>
        <w:pStyle w:val="ListBullet"/>
        <w:numPr>
          <w:ilvl w:val="0"/>
          <w:numId w:val="10"/>
        </w:numPr>
      </w:pPr>
      <w:r>
        <w:t>扫描/渗透/复测；</w:t>
      </w:r>
    </w:p>
    <w:p>
      <w:pPr>
        <w:pStyle w:val="ListBullet"/>
        <w:numPr>
          <w:ilvl w:val="0"/>
          <w:numId w:val="10"/>
        </w:numPr>
      </w:pPr>
      <w:r>
        <w:t>备份/恢复；</w:t>
      </w:r>
    </w:p>
    <w:p>
      <w:pPr>
        <w:pStyle w:val="ListBullet"/>
        <w:numPr>
          <w:ilvl w:val="0"/>
          <w:numId w:val="10"/>
        </w:numPr>
      </w:pPr>
      <w:r>
        <w:t>演练；</w:t>
      </w:r>
    </w:p>
    <w:p>
      <w:pPr>
        <w:pStyle w:val="ListBullet"/>
        <w:numPr>
          <w:ilvl w:val="0"/>
          <w:numId w:val="10"/>
        </w:numPr>
      </w:pPr>
      <w:r>
        <w:t>权限复核；</w:t>
      </w:r>
    </w:p>
    <w:p>
      <w:pPr>
        <w:pStyle w:val="ListBullet"/>
        <w:numPr>
          <w:ilvl w:val="0"/>
          <w:numId w:val="10"/>
        </w:numPr>
      </w:pPr>
      <w:r>
        <w:t>培训；</w:t>
      </w:r>
    </w:p>
    <w:p>
      <w:pPr>
        <w:pStyle w:val="ListBullet"/>
        <w:numPr>
          <w:ilvl w:val="0"/>
          <w:numId w:val="10"/>
        </w:numPr>
      </w:pPr>
      <w:r>
        <w:t>隐私影响评估；</w:t>
      </w:r>
    </w:p>
    <w:p>
      <w:pPr>
        <w:pStyle w:val="ListBullet"/>
        <w:numPr>
          <w:ilvl w:val="0"/>
          <w:numId w:val="10"/>
        </w:numPr>
      </w:pPr>
      <w:r>
        <w:t>供应商；</w:t>
      </w:r>
    </w:p>
    <w:p>
      <w:pPr>
        <w:pStyle w:val="ListBullet"/>
        <w:numPr>
          <w:ilvl w:val="0"/>
          <w:numId w:val="10"/>
        </w:numPr>
      </w:pPr>
      <w:r>
        <w:t>事件/整改；</w:t>
      </w:r>
    </w:p>
    <w:p>
      <w:pPr>
        <w:pStyle w:val="ListBullet"/>
        <w:numPr>
          <w:ilvl w:val="0"/>
          <w:numId w:val="10"/>
        </w:numPr>
      </w:pPr>
      <w:r>
        <w:t>发布批准。</w:t>
      </w:r>
    </w:p>
    <w:p>
      <w:pPr>
        <w:pStyle w:val="Heading1"/>
      </w:pPr>
      <w:r>
        <w:t>二十二、分阶段实施</w:t>
      </w:r>
    </w:p>
    <w:p>
      <w:pPr>
        <w:pStyle w:val="Heading2"/>
      </w:pPr>
      <w:r>
        <w:t>22.1 阶段 A：开发基线</w:t>
      </w:r>
    </w:p>
    <w:p>
      <w:pPr>
        <w:pStyle w:val="ListBullet"/>
        <w:numPr>
          <w:ilvl w:val="0"/>
          <w:numId w:val="10"/>
        </w:numPr>
      </w:pPr>
      <w:r>
        <w:t>数据和资产目录；</w:t>
      </w:r>
    </w:p>
    <w:p>
      <w:pPr>
        <w:pStyle w:val="ListBullet"/>
        <w:numPr>
          <w:ilvl w:val="0"/>
          <w:numId w:val="10"/>
        </w:numPr>
      </w:pPr>
      <w:r>
        <w:t>tenant 隔离；</w:t>
      </w:r>
    </w:p>
    <w:p>
      <w:pPr>
        <w:pStyle w:val="ListBullet"/>
        <w:numPr>
          <w:ilvl w:val="0"/>
          <w:numId w:val="10"/>
        </w:numPr>
      </w:pPr>
      <w:r>
        <w:t>IAM/MFA；</w:t>
      </w:r>
    </w:p>
    <w:p>
      <w:pPr>
        <w:pStyle w:val="ListBullet"/>
        <w:numPr>
          <w:ilvl w:val="0"/>
          <w:numId w:val="10"/>
        </w:numPr>
      </w:pPr>
      <w:r>
        <w:t>KMS/Secret；</w:t>
      </w:r>
    </w:p>
    <w:p>
      <w:pPr>
        <w:pStyle w:val="ListBullet"/>
        <w:numPr>
          <w:ilvl w:val="0"/>
          <w:numId w:val="10"/>
        </w:numPr>
      </w:pPr>
      <w:r>
        <w:t>TLS/加密；</w:t>
      </w:r>
    </w:p>
    <w:p>
      <w:pPr>
        <w:pStyle w:val="ListBullet"/>
        <w:numPr>
          <w:ilvl w:val="0"/>
          <w:numId w:val="10"/>
        </w:numPr>
      </w:pPr>
      <w:r>
        <w:t>安全 CI；</w:t>
      </w:r>
    </w:p>
    <w:p>
      <w:pPr>
        <w:pStyle w:val="ListBullet"/>
        <w:numPr>
          <w:ilvl w:val="0"/>
          <w:numId w:val="10"/>
        </w:numPr>
      </w:pPr>
      <w:r>
        <w:t>日志审计；</w:t>
      </w:r>
    </w:p>
    <w:p>
      <w:pPr>
        <w:pStyle w:val="ListBullet"/>
        <w:numPr>
          <w:ilvl w:val="0"/>
          <w:numId w:val="10"/>
        </w:numPr>
      </w:pPr>
      <w:r>
        <w:t>备份；</w:t>
      </w:r>
    </w:p>
    <w:p>
      <w:pPr>
        <w:pStyle w:val="ListBullet"/>
        <w:numPr>
          <w:ilvl w:val="0"/>
          <w:numId w:val="10"/>
        </w:numPr>
      </w:pPr>
      <w:r>
        <w:t>事件响应；</w:t>
      </w:r>
    </w:p>
    <w:p>
      <w:pPr>
        <w:pStyle w:val="ListBullet"/>
        <w:numPr>
          <w:ilvl w:val="0"/>
          <w:numId w:val="10"/>
        </w:numPr>
      </w:pPr>
      <w:r>
        <w:t>隐私基本流程。</w:t>
      </w:r>
    </w:p>
    <w:p>
      <w:pPr>
        <w:pStyle w:val="Heading2"/>
      </w:pPr>
      <w:r>
        <w:t>22.2 阶段 B：试点</w:t>
      </w:r>
    </w:p>
    <w:p>
      <w:pPr>
        <w:pStyle w:val="ListBullet"/>
        <w:numPr>
          <w:ilvl w:val="0"/>
          <w:numId w:val="10"/>
        </w:numPr>
      </w:pPr>
      <w:r>
        <w:t>WAF/Gateway；</w:t>
      </w:r>
    </w:p>
    <w:p>
      <w:pPr>
        <w:pStyle w:val="ListBullet"/>
        <w:numPr>
          <w:ilvl w:val="0"/>
          <w:numId w:val="10"/>
        </w:numPr>
      </w:pPr>
      <w:r>
        <w:t>多 AZ；</w:t>
      </w:r>
    </w:p>
    <w:p>
      <w:pPr>
        <w:pStyle w:val="ListBullet"/>
        <w:numPr>
          <w:ilvl w:val="0"/>
          <w:numId w:val="10"/>
        </w:numPr>
      </w:pPr>
      <w:r>
        <w:t>监控告警；</w:t>
      </w:r>
    </w:p>
    <w:p>
      <w:pPr>
        <w:pStyle w:val="ListBullet"/>
        <w:numPr>
          <w:ilvl w:val="0"/>
          <w:numId w:val="10"/>
        </w:numPr>
      </w:pPr>
      <w:r>
        <w:t>恢复演练；</w:t>
      </w:r>
    </w:p>
    <w:p>
      <w:pPr>
        <w:pStyle w:val="ListBullet"/>
        <w:numPr>
          <w:ilvl w:val="0"/>
          <w:numId w:val="10"/>
        </w:numPr>
      </w:pPr>
      <w:r>
        <w:t>Android Kiosk/证书；</w:t>
      </w:r>
    </w:p>
    <w:p>
      <w:pPr>
        <w:pStyle w:val="ListBullet"/>
        <w:numPr>
          <w:ilvl w:val="0"/>
          <w:numId w:val="10"/>
        </w:numPr>
      </w:pPr>
      <w:r>
        <w:t>连接器和 API 认证；</w:t>
      </w:r>
    </w:p>
    <w:p>
      <w:pPr>
        <w:pStyle w:val="ListBullet"/>
        <w:numPr>
          <w:ilvl w:val="0"/>
          <w:numId w:val="10"/>
        </w:numPr>
      </w:pPr>
      <w:r>
        <w:t>渗透与整改；</w:t>
      </w:r>
    </w:p>
    <w:p>
      <w:pPr>
        <w:pStyle w:val="ListBullet"/>
        <w:numPr>
          <w:ilvl w:val="0"/>
          <w:numId w:val="10"/>
        </w:numPr>
      </w:pPr>
      <w:r>
        <w:t>等保差距分析；</w:t>
      </w:r>
    </w:p>
    <w:p>
      <w:pPr>
        <w:pStyle w:val="ListBullet"/>
        <w:numPr>
          <w:ilvl w:val="0"/>
          <w:numId w:val="10"/>
        </w:numPr>
      </w:pPr>
      <w:r>
        <w:t>PIPIA；</w:t>
      </w:r>
    </w:p>
    <w:p>
      <w:pPr>
        <w:pStyle w:val="ListBullet"/>
        <w:numPr>
          <w:ilvl w:val="0"/>
          <w:numId w:val="10"/>
        </w:numPr>
      </w:pPr>
      <w:r>
        <w:t>供应商闭环。</w:t>
      </w:r>
    </w:p>
    <w:p>
      <w:pPr>
        <w:pStyle w:val="Heading2"/>
      </w:pPr>
      <w:r>
        <w:t>22.3 阶段 C：商业发布</w:t>
      </w:r>
    </w:p>
    <w:p>
      <w:pPr>
        <w:pStyle w:val="ListBullet"/>
        <w:numPr>
          <w:ilvl w:val="0"/>
          <w:numId w:val="10"/>
        </w:numPr>
      </w:pPr>
      <w:r>
        <w:t>等保定级备案/测评按适用推进；</w:t>
      </w:r>
    </w:p>
    <w:p>
      <w:pPr>
        <w:pStyle w:val="ListBullet"/>
        <w:numPr>
          <w:ilvl w:val="0"/>
          <w:numId w:val="10"/>
        </w:numPr>
      </w:pPr>
      <w:r>
        <w:t>跨区域备份与演练；</w:t>
      </w:r>
    </w:p>
    <w:p>
      <w:pPr>
        <w:pStyle w:val="ListBullet"/>
        <w:numPr>
          <w:ilvl w:val="0"/>
          <w:numId w:val="10"/>
        </w:numPr>
      </w:pPr>
      <w:r>
        <w:t>SIEM/值守；</w:t>
      </w:r>
    </w:p>
    <w:p>
      <w:pPr>
        <w:pStyle w:val="ListBullet"/>
        <w:numPr>
          <w:ilvl w:val="0"/>
          <w:numId w:val="10"/>
        </w:numPr>
      </w:pPr>
      <w:r>
        <w:t>全链路业务连续性；</w:t>
      </w:r>
    </w:p>
    <w:p>
      <w:pPr>
        <w:pStyle w:val="ListBullet"/>
        <w:numPr>
          <w:ilvl w:val="0"/>
          <w:numId w:val="10"/>
        </w:numPr>
      </w:pPr>
      <w:r>
        <w:t>正式隐私与合同；</w:t>
      </w:r>
    </w:p>
    <w:p>
      <w:pPr>
        <w:pStyle w:val="ListBullet"/>
        <w:numPr>
          <w:ilvl w:val="0"/>
          <w:numId w:val="10"/>
        </w:numPr>
      </w:pPr>
      <w:r>
        <w:t>安全运营指标；</w:t>
      </w:r>
    </w:p>
    <w:p>
      <w:pPr>
        <w:pStyle w:val="ListBullet"/>
        <w:numPr>
          <w:ilvl w:val="0"/>
          <w:numId w:val="10"/>
        </w:numPr>
      </w:pPr>
      <w:r>
        <w:t>外部审计证据；</w:t>
      </w:r>
    </w:p>
    <w:p>
      <w:pPr>
        <w:pStyle w:val="ListBullet"/>
        <w:numPr>
          <w:ilvl w:val="0"/>
          <w:numId w:val="10"/>
        </w:numPr>
      </w:pPr>
      <w:r>
        <w:t>商业 V1 Go/No-Go。</w:t>
      </w:r>
    </w:p>
    <w:p>
      <w:pPr>
        <w:pStyle w:val="Heading1"/>
      </w:pPr>
      <w:r>
        <w:t>二十三、商业 V1 决策摘要</w:t>
      </w:r>
    </w:p>
    <w:p>
      <w:pPr>
        <w:pStyle w:val="ListNumber"/>
        <w:numPr>
          <w:ilvl w:val="0"/>
          <w:numId w:val="11"/>
        </w:numPr>
      </w:pPr>
      <w:r>
        <w:t>建议按等保二级基线建设、保留三级增强能力；正式定级由主管部门/测评机构确认。</w:t>
      </w:r>
    </w:p>
    <w:p>
      <w:pPr>
        <w:pStyle w:val="ListNumber"/>
        <w:numPr>
          <w:ilvl w:val="0"/>
          <w:numId w:val="11"/>
        </w:numPr>
      </w:pPr>
      <w:r>
        <w:t>适用 2026 年修正版《网络安全法》及《个保法》《数据安全法》《网络数据安全管理条例》。</w:t>
      </w:r>
    </w:p>
    <w:p>
      <w:pPr>
        <w:pStyle w:val="ListNumber"/>
        <w:numPr>
          <w:ilvl w:val="0"/>
          <w:numId w:val="11"/>
        </w:numPr>
      </w:pPr>
      <w:r>
        <w:t>tenant_id 使用 VARCHAR(20)，租户隔离覆盖所有存储和异步链路。</w:t>
      </w:r>
    </w:p>
    <w:p>
      <w:pPr>
        <w:pStyle w:val="ListNumber"/>
        <w:numPr>
          <w:ilvl w:val="0"/>
          <w:numId w:val="11"/>
        </w:numPr>
      </w:pPr>
      <w:r>
        <w:t>管理高权限强制 MFA，高风险业务使用 step-up、审批和职责分离。</w:t>
      </w:r>
    </w:p>
    <w:p>
      <w:pPr>
        <w:pStyle w:val="ListNumber"/>
        <w:numPr>
          <w:ilvl w:val="0"/>
          <w:numId w:val="11"/>
        </w:numPr>
      </w:pPr>
      <w:r>
        <w:t>生产 secret 进入 KMS/Vault，数据、终端和备份分层加密。</w:t>
      </w:r>
    </w:p>
    <w:p>
      <w:pPr>
        <w:pStyle w:val="ListNumber"/>
        <w:numPr>
          <w:ilvl w:val="0"/>
          <w:numId w:val="11"/>
        </w:numPr>
      </w:pPr>
      <w:r>
        <w:t>通过持证支付终端/SDK 和令牌化缩小 PCI 范围；范围由专业机构确认。</w:t>
      </w:r>
    </w:p>
    <w:p>
      <w:pPr>
        <w:pStyle w:val="ListNumber"/>
        <w:numPr>
          <w:ilvl w:val="0"/>
          <w:numId w:val="11"/>
        </w:numPr>
      </w:pPr>
      <w:r>
        <w:t>应用安全以 OWASP ASVS 5.0 L2 适用项为工程基线。</w:t>
      </w:r>
    </w:p>
    <w:p>
      <w:pPr>
        <w:pStyle w:val="ListNumber"/>
        <w:numPr>
          <w:ilvl w:val="0"/>
          <w:numId w:val="11"/>
        </w:numPr>
      </w:pPr>
      <w:r>
        <w:t>个人信息以目的、最小化、权利请求、PIPIA、第三方和跨境治理闭环。</w:t>
      </w:r>
    </w:p>
    <w:p>
      <w:pPr>
        <w:pStyle w:val="ListNumber"/>
        <w:numPr>
          <w:ilvl w:val="0"/>
          <w:numId w:val="11"/>
        </w:numPr>
      </w:pPr>
      <w:r>
        <w:t>T0 同区域目标 RTO 30 分钟/RPO 5 分钟，区域灾难 RTO 4 小时/RPO 1 小时，必须经演练才能承诺。</w:t>
      </w:r>
    </w:p>
    <w:p>
      <w:pPr>
        <w:pStyle w:val="ListNumber"/>
        <w:numPr>
          <w:ilvl w:val="0"/>
          <w:numId w:val="11"/>
        </w:numPr>
      </w:pPr>
      <w:r>
        <w:t>商业发布前必须完成真实恢复、跨租户、支付、离线、渗透和事件响应验收。</w:t>
      </w:r>
    </w:p>
    <w:p>
      <w:r>
        <w:t>本方案批准后，安全门禁、数据分级、身份密钥、备份、RTO/RPO、事件级别和证据要求成为商业 V1 强制基线；任何例外需要有期限的正式风险接受。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等线"/>
        <w:color w:val="667085"/>
        <w:sz w:val="17"/>
      </w:rPr>
      <w:t xml:space="preserve">第 </w:t>
    </w:r>
    <w:r>
      <w:rPr>
        <w:rFonts w:ascii="Calibri" w:hAnsi="Calibri" w:eastAsia="等线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等线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等线"/>
        <w:color w:val="667085"/>
        <w:sz w:val="17"/>
      </w:rPr>
      <w:t>连接器型商业收银经营平台    |    安全、隐私、等保与灾备实施方案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等线"/>
      <w:b w:val="0"/>
      <w:i w:val="0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等线"/>
      <w:b w:val="0"/>
      <w:i w:val="0"/>
      <w:color w:val="20212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等线"/>
      <w:b w:val="0"/>
      <w:i w:val="0"/>
      <w:color w:val="202124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等线"/>
      <w:b w:val="0"/>
      <w:bCs/>
      <w:i w:val="0"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连接器型商业收银经营平台：安全、隐私、等保与灾备实施方案 V1.0</dc:title>
  <dc:subject>领域模型、数据库设计、数据边界与研发验收</dc:subject>
  <dc:creator>jshPOS项目组</dc:creator>
  <cp:keywords>POS, 领域模型, 数据库, 账本, 多租户, ULID, Outbox</cp:keywords>
  <dc:description>详细设计规格版本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