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pPr>
      <w:r>
        <w:rPr>
          <w:rFonts w:ascii="Calibri" w:hAnsi="Calibri" w:eastAsia="等线"/>
          <w:b/>
          <w:color w:val="2E74B5"/>
          <w:sz w:val="20"/>
        </w:rPr>
        <w:t>TECHNICAL ARCHITECTURE / ENGINEERING STANDARD</w:t>
      </w:r>
    </w:p>
    <w:p>
      <w:pPr>
        <w:spacing w:after="120"/>
      </w:pPr>
      <w:r>
        <w:rPr>
          <w:rFonts w:ascii="Calibri" w:hAnsi="Calibri" w:eastAsia="等线"/>
          <w:b/>
          <w:color w:val="17365D"/>
          <w:sz w:val="56"/>
        </w:rPr>
        <w:t>连接器型商业收银经营平台</w:t>
      </w:r>
    </w:p>
    <w:p>
      <w:pPr>
        <w:spacing w:after="400"/>
      </w:pPr>
      <w:r>
        <w:rPr>
          <w:rFonts w:ascii="Calibri" w:hAnsi="Calibri" w:eastAsia="等线"/>
          <w:b/>
          <w:color w:val="1F4D78"/>
          <w:sz w:val="32"/>
        </w:rPr>
        <w:t>技术架构与开发规范 V1.0</w:t>
      </w:r>
    </w:p>
    <w:p>
      <w:pPr>
        <w:spacing w:before="0" w:after="60" w:line="264" w:lineRule="auto"/>
      </w:pPr>
      <w:r>
        <w:rPr>
          <w:rFonts w:ascii="Calibri" w:hAnsi="Calibri" w:eastAsia="等线"/>
          <w:b/>
          <w:color w:val="202124"/>
          <w:sz w:val="21"/>
        </w:rPr>
        <w:t>文档性质：</w:t>
      </w:r>
      <w:r>
        <w:rPr>
          <w:rFonts w:ascii="Calibri" w:hAnsi="Calibri" w:eastAsia="等线"/>
          <w:color w:val="202124"/>
          <w:sz w:val="21"/>
        </w:rPr>
        <w:t>技术架构基线、工程开发规范与质量门禁</w:t>
      </w:r>
    </w:p>
    <w:p>
      <w:pPr>
        <w:spacing w:before="0" w:after="60" w:line="264" w:lineRule="auto"/>
      </w:pPr>
      <w:r>
        <w:rPr>
          <w:rFonts w:ascii="Calibri" w:hAnsi="Calibri" w:eastAsia="等线"/>
          <w:b/>
          <w:color w:val="202124"/>
          <w:sz w:val="21"/>
        </w:rPr>
        <w:t>首发终端：</w:t>
      </w:r>
      <w:r>
        <w:rPr>
          <w:rFonts w:ascii="Calibri" w:hAnsi="Calibri" w:eastAsia="等线"/>
          <w:color w:val="202124"/>
          <w:sz w:val="21"/>
        </w:rPr>
        <w:t>Flutter Android 商用POS一体机</w:t>
      </w:r>
    </w:p>
    <w:p>
      <w:pPr>
        <w:spacing w:before="0" w:after="60" w:line="264" w:lineRule="auto"/>
      </w:pPr>
      <w:r>
        <w:rPr>
          <w:rFonts w:ascii="Calibri" w:hAnsi="Calibri" w:eastAsia="等线"/>
          <w:b/>
          <w:color w:val="202124"/>
          <w:sz w:val="21"/>
        </w:rPr>
        <w:t>服务端：</w:t>
      </w:r>
      <w:r>
        <w:rPr>
          <w:rFonts w:ascii="Calibri" w:hAnsi="Calibri" w:eastAsia="等线"/>
          <w:color w:val="202124"/>
          <w:sz w:val="21"/>
        </w:rPr>
        <w:t>RuoYi-Vue-Plus 模块化单体</w:t>
      </w:r>
    </w:p>
    <w:p>
      <w:pPr>
        <w:spacing w:before="0" w:after="60" w:line="264" w:lineRule="auto"/>
      </w:pPr>
      <w:r>
        <w:rPr>
          <w:rFonts w:ascii="Calibri" w:hAnsi="Calibri" w:eastAsia="等线"/>
          <w:b/>
          <w:color w:val="202124"/>
          <w:sz w:val="21"/>
        </w:rPr>
        <w:t>管理后台：</w:t>
      </w:r>
      <w:r>
        <w:rPr>
          <w:rFonts w:ascii="Calibri" w:hAnsi="Calibri" w:eastAsia="等线"/>
          <w:color w:val="202124"/>
          <w:sz w:val="21"/>
        </w:rPr>
        <w:t>Vue 3 + TypeScript</w:t>
      </w:r>
    </w:p>
    <w:p>
      <w:pPr>
        <w:spacing w:before="0" w:after="60" w:line="264" w:lineRule="auto"/>
      </w:pPr>
      <w:r>
        <w:rPr>
          <w:rFonts w:ascii="Calibri" w:hAnsi="Calibri" w:eastAsia="等线"/>
          <w:b/>
          <w:color w:val="202124"/>
          <w:sz w:val="21"/>
        </w:rPr>
        <w:t>文档状态：</w:t>
      </w:r>
      <w:r>
        <w:rPr>
          <w:rFonts w:ascii="Calibri" w:hAnsi="Calibri" w:eastAsia="等线"/>
          <w:color w:val="202124"/>
          <w:sz w:val="21"/>
        </w:rPr>
        <w:t>评审稿</w:t>
      </w:r>
    </w:p>
    <w:p>
      <w:pPr>
        <w:spacing w:before="0" w:after="60" w:line="264" w:lineRule="auto"/>
      </w:pPr>
      <w:r>
        <w:rPr>
          <w:rFonts w:ascii="Calibri" w:hAnsi="Calibri" w:eastAsia="等线"/>
          <w:b/>
          <w:color w:val="202124"/>
          <w:sz w:val="21"/>
        </w:rPr>
        <w:t>基线日期：</w:t>
      </w:r>
      <w:r>
        <w:rPr>
          <w:rFonts w:ascii="Calibri" w:hAnsi="Calibri" w:eastAsia="等线"/>
          <w:color w:val="202124"/>
          <w:sz w:val="21"/>
        </w:rPr>
        <w:t>2026年8月15日</w:t>
      </w:r>
    </w:p>
    <w:p>
      <w:pPr>
        <w:spacing w:before="280" w:after="360"/>
        <w:pBdr>
          <w:bottom w:val="single" w:sz="10" w:space="6" w:color="2E74B5"/>
        </w:pBdr>
      </w:pPr>
    </w:p>
    <w:p>
      <w:pPr>
        <w:spacing w:before="80" w:after="80"/>
        <w:ind w:left="173" w:right="173"/>
        <w:jc w:val="center"/>
        <w:shd w:fill="E8EEF5"/>
        <w:pBdr>
          <w:top w:val="single" w:sz="4" w:space="4" w:color="D5DEE8"/>
          <w:left w:val="single" w:sz="4" w:space="4" w:color="D5DEE8"/>
          <w:bottom w:val="single" w:sz="4" w:space="4" w:color="D5DEE8"/>
          <w:right w:val="single" w:sz="4" w:space="4" w:color="D5DEE8"/>
        </w:pBdr>
      </w:pPr>
      <w:r>
        <w:rPr>
          <w:rFonts w:ascii="Calibri" w:hAnsi="Calibri" w:eastAsia="等线"/>
          <w:b/>
          <w:color w:val="17365D"/>
          <w:sz w:val="24"/>
        </w:rPr>
        <w:t xml:space="preserve">  Android优先、Flutter统一终端、领域规则独立、可靠性门禁先行。  </w:t>
      </w:r>
    </w:p>
    <w:p>
      <w:pPr>
        <w:spacing w:before="840"/>
        <w:jc w:val="left"/>
      </w:pPr>
      <w:r>
        <w:rPr>
          <w:rFonts w:ascii="Calibri" w:hAnsi="Calibri" w:eastAsia="等线"/>
          <w:b/>
          <w:color w:val="667085"/>
          <w:sz w:val="20"/>
        </w:rPr>
        <w:t>jshPOS 项目组</w:t>
      </w:r>
    </w:p>
    <w:p>
      <w:r>
        <w:br w:type="page"/>
      </w:r>
    </w:p>
    <w:p>
      <w:pPr>
        <w:spacing w:before="0" w:after="240"/>
      </w:pPr>
      <w:r>
        <w:rPr>
          <w:rFonts w:ascii="Calibri" w:hAnsi="Calibri" w:eastAsia="等线"/>
          <w:b/>
          <w:color w:val="17365D"/>
          <w:sz w:val="40"/>
        </w:rPr>
        <w:t>目录</w:t>
      </w:r>
    </w:p>
    <w:p>
      <w:pPr>
        <w:spacing w:after="0"/>
      </w:pPr>
      <w:r>
        <w:rPr>
          <w:rFonts w:ascii="Calibri" w:hAnsi="Calibri" w:eastAsia="等线"/>
          <w:color w:val="202124"/>
          <w:sz w:val="21"/>
        </w:rPr>
        <w:fldChar w:fldCharType="begin"/>
        <w:instrText xml:space="preserve">TOC \o "1-3" \h \z \u</w:instrText>
        <w:fldChar w:fldCharType="separate"/>
        <w:t>目录将在打开或导出文档时自动更新</w:t>
        <w:fldChar w:fldCharType="end"/>
      </w:r>
    </w:p>
    <w:p>
      <w:r>
        <w:br w:type="page"/>
      </w:r>
    </w:p>
    <w:p>
      <w:pPr>
        <w:pStyle w:val="Heading1"/>
      </w:pPr>
      <w:r>
        <w:t>文档说明</w:t>
      </w:r>
    </w:p>
    <w:p>
      <w:pPr>
        <w:pStyle w:val="Heading2"/>
      </w:pPr>
      <w:r>
        <w:t>1. 文档目的</w:t>
      </w:r>
    </w:p>
    <w:p>
      <w:r>
        <w:t>本文是研发、测试、DevOps、实施和技术合作方共同遵循的技术基线，用于回答以下问题：</w:t>
      </w:r>
    </w:p>
    <w:p>
      <w:pPr>
        <w:pStyle w:val="ListBullet"/>
        <w:numPr>
          <w:ilvl w:val="0"/>
          <w:numId w:val="10"/>
        </w:numPr>
      </w:pPr>
      <w:r>
        <w:t>系统采用什么总体架构、技术栈和部署方式。</w:t>
      </w:r>
    </w:p>
    <w:p>
      <w:pPr>
        <w:pStyle w:val="ListBullet"/>
        <w:numPr>
          <w:ilvl w:val="0"/>
          <w:numId w:val="10"/>
        </w:numPr>
      </w:pPr>
      <w:r>
        <w:t>RuoYi-Vue-Plus 可以复用什么，哪些核心领域必须自研。</w:t>
      </w:r>
    </w:p>
    <w:p>
      <w:pPr>
        <w:pStyle w:val="ListBullet"/>
        <w:numPr>
          <w:ilvl w:val="0"/>
          <w:numId w:val="10"/>
        </w:numPr>
      </w:pPr>
      <w:r>
        <w:t>Flutter 如何同时支撑 Android POS、Windows POS、PDA 和商家移动端。</w:t>
      </w:r>
    </w:p>
    <w:p>
      <w:pPr>
        <w:pStyle w:val="ListBullet"/>
        <w:numPr>
          <w:ilvl w:val="0"/>
          <w:numId w:val="10"/>
        </w:numPr>
      </w:pPr>
      <w:r>
        <w:t>Android 商用收银硬件如何接入、认证、升级和远程诊断。</w:t>
      </w:r>
    </w:p>
    <w:p>
      <w:pPr>
        <w:pStyle w:val="ListBullet"/>
        <w:numPr>
          <w:ilvl w:val="0"/>
          <w:numId w:val="10"/>
        </w:numPr>
      </w:pPr>
      <w:r>
        <w:t>多租户、订单、支付、库存和离线同步如何保证商业可靠性。</w:t>
      </w:r>
    </w:p>
    <w:p>
      <w:pPr>
        <w:pStyle w:val="ListBullet"/>
        <w:numPr>
          <w:ilvl w:val="0"/>
          <w:numId w:val="10"/>
        </w:numPr>
      </w:pPr>
      <w:r>
        <w:t>代码、数据库、API、事件、测试、发布和 AI 辅助研发应遵循什么规范。</w:t>
      </w:r>
    </w:p>
    <w:p>
      <w:r>
        <w:t>本文不替代领域规格。订单、支付、退款、库存、促销、连接器和离线同步仍应分别形成详细设计说明书。</w:t>
      </w:r>
    </w:p>
    <w:p>
      <w:pPr>
        <w:pStyle w:val="Heading2"/>
      </w:pPr>
      <w:r>
        <w:t>2. 文档控制</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72"/>
        <w:gridCol w:w="7488"/>
      </w:tblGrid>
      <w:tr>
        <w:trPr>
          <w:cantSplit/>
          <w:tblHeader w:val="true"/>
        </w:trPr>
        <w:tc>
          <w:tcPr>
            <w:tcW w:type="dxa" w:w="1872"/>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项目</w:t>
            </w:r>
          </w:p>
        </w:tc>
        <w:tc>
          <w:tcPr>
            <w:tcW w:type="dxa" w:w="7488"/>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内容</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文档版本</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V1.0</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基线日期</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2026-08-15</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状态</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建议作为架构评审基线</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首发终端</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Android 商用 POS 一体机</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兼容终端</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Android PDA/移动端；Windows POS 后续认证</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服务端基线</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RuoYi-Vue-Plus 5.6.x 系列，实施前固定具体 Tag 和内部 Fork</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架构形态</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模块化单体优先，事件驱动扩展，达到拆分门槛后再微服务化</w:t>
            </w:r>
          </w:p>
        </w:tc>
      </w:tr>
    </w:tbl>
    <w:p>
      <w:pPr>
        <w:spacing w:before="0" w:after="40"/>
      </w:pPr>
    </w:p>
    <w:p>
      <w:pPr>
        <w:pStyle w:val="Heading2"/>
      </w:pPr>
      <w:r>
        <w:t>3. 规范级别</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72"/>
        <w:gridCol w:w="7488"/>
      </w:tblGrid>
      <w:tr>
        <w:trPr>
          <w:cantSplit/>
          <w:tblHeader w:val="true"/>
        </w:trPr>
        <w:tc>
          <w:tcPr>
            <w:tcW w:type="dxa" w:w="1872"/>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级别</w:t>
            </w:r>
          </w:p>
        </w:tc>
        <w:tc>
          <w:tcPr>
            <w:tcW w:type="dxa" w:w="7488"/>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含义</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必须</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不符合不得合并或发布</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应当</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原则上必须符合，例外需 ADR 和负责人批准</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可以</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按实际场景选择，不形成强制约束</w:t>
            </w:r>
          </w:p>
        </w:tc>
      </w:tr>
    </w:tbl>
    <w:p>
      <w:pPr>
        <w:spacing w:before="0" w:after="40"/>
      </w:pPr>
    </w:p>
    <w:p>
      <w:pPr>
        <w:pStyle w:val="Heading1"/>
      </w:pPr>
      <w:r>
        <w:t>一、技术选型结论</w:t>
      </w:r>
    </w:p>
    <w:p>
      <w:pPr>
        <w:pStyle w:val="Heading2"/>
      </w:pPr>
      <w:r>
        <w:t>1.1 最终选型</w:t>
      </w:r>
    </w:p>
    <w:p>
      <w:pPr>
        <w:pStyle w:val="ListNumber"/>
        <w:numPr>
          <w:ilvl w:val="0"/>
          <w:numId w:val="11"/>
        </w:numPr>
      </w:pPr>
      <w:r>
        <w:t>服务端采用 RuoYi-Vue-Plus 作为 SaaS 平台基础和管理后台底座。</w:t>
      </w:r>
    </w:p>
    <w:p>
      <w:pPr>
        <w:pStyle w:val="ListNumber"/>
        <w:numPr>
          <w:ilvl w:val="0"/>
          <w:numId w:val="11"/>
        </w:numPr>
      </w:pPr>
      <w:r>
        <w:t>服务端首期采用模块化单体，不采用 RuoYi-Cloud-Plus 微服务版。</w:t>
      </w:r>
    </w:p>
    <w:p>
      <w:pPr>
        <w:pStyle w:val="ListNumber"/>
        <w:numPr>
          <w:ilvl w:val="0"/>
          <w:numId w:val="11"/>
        </w:numPr>
      </w:pPr>
      <w:r>
        <w:t>Web 总部、商户和运营管理后台保留 Vue 3 + TypeScript。</w:t>
      </w:r>
    </w:p>
    <w:p>
      <w:pPr>
        <w:pStyle w:val="ListNumber"/>
        <w:numPr>
          <w:ilvl w:val="0"/>
          <w:numId w:val="11"/>
        </w:numPr>
      </w:pPr>
      <w:r>
        <w:t>POS、PDA 和商家移动端采用 Flutter，共享设计系统、协议模型和通用业务组件。</w:t>
      </w:r>
    </w:p>
    <w:p>
      <w:pPr>
        <w:pStyle w:val="ListNumber"/>
        <w:numPr>
          <w:ilvl w:val="0"/>
          <w:numId w:val="11"/>
        </w:numPr>
      </w:pPr>
      <w:r>
        <w:t>商业 V1 以 Android 商用 POS 一体机为唯一正式收银终端路线。</w:t>
      </w:r>
    </w:p>
    <w:p>
      <w:pPr>
        <w:pStyle w:val="ListNumber"/>
        <w:numPr>
          <w:ilvl w:val="0"/>
          <w:numId w:val="11"/>
        </w:numPr>
      </w:pPr>
      <w:r>
        <w:t>Windows 由 Flutter 保留编译能力，但只有通过完整硬件认证后才成为正式产品。</w:t>
      </w:r>
    </w:p>
    <w:p>
      <w:pPr>
        <w:pStyle w:val="ListNumber"/>
        <w:numPr>
          <w:ilvl w:val="0"/>
          <w:numId w:val="11"/>
        </w:numPr>
      </w:pPr>
      <w:r>
        <w:t>Android 内置打印、扫码、钱箱、客显等能力通过厂商 SDK/AIDL/原生插件适配，不强制部署 Edge Agent。</w:t>
      </w:r>
    </w:p>
    <w:p>
      <w:pPr>
        <w:pStyle w:val="ListNumber"/>
        <w:numPr>
          <w:ilvl w:val="0"/>
          <w:numId w:val="11"/>
        </w:numPr>
      </w:pPr>
      <w:r>
        <w:t>Windows 遇到 USB、串口、COM、厂商支付 SDK 或复杂打印场景时，使用可选 POS Edge Agent。</w:t>
      </w:r>
    </w:p>
    <w:p>
      <w:pPr>
        <w:pStyle w:val="ListNumber"/>
        <w:numPr>
          <w:ilvl w:val="0"/>
          <w:numId w:val="11"/>
        </w:numPr>
      </w:pPr>
      <w:r>
        <w:t>本地交易采用 SQLite、本地事务、Outbox 和幂等同步；云端短时故障不得阻断允许离线的营业。</w:t>
      </w:r>
    </w:p>
    <w:p>
      <w:pPr>
        <w:pStyle w:val="ListNumber"/>
        <w:numPr>
          <w:ilvl w:val="0"/>
          <w:numId w:val="11"/>
        </w:numPr>
      </w:pPr>
      <w:r>
        <w:t>核心业务以领域模型、状态机、账本和不可变快照实现，不以通用 CRUD 代替业务设计。</w:t>
      </w:r>
    </w:p>
    <w:p>
      <w:pPr>
        <w:pStyle w:val="Heading2"/>
      </w:pPr>
      <w:r>
        <w:t>1.2 对“Flutter 是否够用”的判断</w:t>
      </w:r>
    </w:p>
    <w:p>
      <w:r>
        <w:t>Flutter 足以承担 Android 商用 POS 的收银界面、本地数据、离线营业、同步和常规硬件接入，但成立的前提是：</w:t>
      </w:r>
    </w:p>
    <w:p>
      <w:pPr>
        <w:pStyle w:val="ListBullet"/>
        <w:numPr>
          <w:ilvl w:val="0"/>
          <w:numId w:val="10"/>
        </w:numPr>
      </w:pPr>
      <w:r>
        <w:t>只支持硬件白名单，不承诺任意 Android 收银机都能运行。</w:t>
      </w:r>
    </w:p>
    <w:p>
      <w:pPr>
        <w:pStyle w:val="ListBullet"/>
        <w:numPr>
          <w:ilvl w:val="0"/>
          <w:numId w:val="10"/>
        </w:numPr>
      </w:pPr>
      <w:r>
        <w:t>每个厂商 SDK 通过统一设备接口接入，业务代码不直接调用厂商 API。</w:t>
      </w:r>
    </w:p>
    <w:p>
      <w:pPr>
        <w:pStyle w:val="ListBullet"/>
        <w:numPr>
          <w:ilvl w:val="0"/>
          <w:numId w:val="10"/>
        </w:numPr>
      </w:pPr>
      <w:r>
        <w:t>不依赖 Google Play Services，适配国内商用 Android 环境。</w:t>
      </w:r>
    </w:p>
    <w:p>
      <w:pPr>
        <w:pStyle w:val="ListBullet"/>
        <w:numPr>
          <w:ilvl w:val="0"/>
          <w:numId w:val="10"/>
        </w:numPr>
      </w:pPr>
      <w:r>
        <w:t>收银交易和同步不能只存内存或普通键值存储，必须使用可靠本地数据库。</w:t>
      </w:r>
    </w:p>
    <w:p>
      <w:pPr>
        <w:pStyle w:val="ListBullet"/>
        <w:numPr>
          <w:ilvl w:val="0"/>
          <w:numId w:val="10"/>
        </w:numPr>
      </w:pPr>
      <w:r>
        <w:t>发布前必须完成真机、断电、断网、长稳、升级回滚和外设插拔测试。</w:t>
      </w:r>
    </w:p>
    <w:p>
      <w:r>
        <w:t>“一套 Flutter 代码”指共享 UI、领域模型和通用逻辑，不代表 Android、Windows 的驱动代码完全相同。</w:t>
      </w:r>
    </w:p>
    <w:p>
      <w:pPr>
        <w:pStyle w:val="Heading2"/>
      </w:pPr>
      <w:r>
        <w:t>1.3 明确不采用的方案</w:t>
      </w:r>
    </w:p>
    <w:p>
      <w:pPr>
        <w:pStyle w:val="ListBullet"/>
        <w:numPr>
          <w:ilvl w:val="0"/>
          <w:numId w:val="10"/>
        </w:numPr>
      </w:pPr>
      <w:r>
        <w:t>V1 不采用全量微服务、Service Mesh 和复杂 Kubernetes 平台作为前置条件。</w:t>
      </w:r>
    </w:p>
    <w:p>
      <w:pPr>
        <w:pStyle w:val="ListBullet"/>
        <w:numPr>
          <w:ilvl w:val="0"/>
          <w:numId w:val="10"/>
        </w:numPr>
      </w:pPr>
      <w:r>
        <w:t>不用 Flutter Web 替换若依 Vue 管理后台。</w:t>
      </w:r>
    </w:p>
    <w:p>
      <w:pPr>
        <w:pStyle w:val="ListBullet"/>
        <w:numPr>
          <w:ilvl w:val="0"/>
          <w:numId w:val="10"/>
        </w:numPr>
      </w:pPr>
      <w:r>
        <w:t>不让 RuoYi 代码生成器生成订单、支付、库存、促销等核心领域逻辑。</w:t>
      </w:r>
    </w:p>
    <w:p>
      <w:pPr>
        <w:pStyle w:val="ListBullet"/>
        <w:numPr>
          <w:ilvl w:val="0"/>
          <w:numId w:val="10"/>
        </w:numPr>
      </w:pPr>
      <w:r>
        <w:t>不让 POS UI 直接访问打印机、支付 SDK 或数据库表。</w:t>
      </w:r>
    </w:p>
    <w:p>
      <w:pPr>
        <w:pStyle w:val="ListBullet"/>
        <w:numPr>
          <w:ilvl w:val="0"/>
          <w:numId w:val="10"/>
        </w:numPr>
      </w:pPr>
      <w:r>
        <w:t>不依赖未经审计的单一社区硬件插件作为商用关键路径。</w:t>
      </w:r>
    </w:p>
    <w:p>
      <w:pPr>
        <w:pStyle w:val="ListBullet"/>
        <w:numPr>
          <w:ilvl w:val="0"/>
          <w:numId w:val="10"/>
        </w:numPr>
      </w:pPr>
      <w:r>
        <w:t>不同时发布 Android 和 Windows 两条未经充分认证的 POS 产品线。</w:t>
      </w:r>
    </w:p>
    <w:p>
      <w:pPr>
        <w:pStyle w:val="Heading1"/>
      </w:pPr>
      <w:r>
        <w:t>二、总体架构</w:t>
      </w:r>
    </w:p>
    <w:p>
      <w:pPr>
        <w:pStyle w:val="Heading2"/>
      </w:pPr>
      <w:r>
        <w:t>2.1 逻辑架构</w:t>
      </w:r>
    </w:p>
    <w:p>
      <w:pPr>
        <w:spacing w:before="80" w:after="80"/>
        <w:jc w:val="center"/>
      </w:pPr>
      <w:r>
        <w:drawing>
          <wp:inline xmlns:a="http://schemas.openxmlformats.org/drawingml/2006/main" xmlns:pic="http://schemas.openxmlformats.org/drawingml/2006/picture">
            <wp:extent cx="5806440" cy="2941930"/>
            <wp:docPr id="1" name="Picture 1" descr="连接器型商业收银经营平台逻辑架构图" title="平台逻辑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2941930"/>
                    </a:xfrm>
                    <a:prstGeom prst="rect"/>
                  </pic:spPr>
                </pic:pic>
              </a:graphicData>
            </a:graphic>
          </wp:inline>
        </w:drawing>
      </w:r>
    </w:p>
    <w:p>
      <w:pPr>
        <w:pStyle w:val="Caption"/>
        <w:jc w:val="center"/>
      </w:pPr>
      <w:r>
        <w:t>图1  连接器型商业收银经营平台逻辑架构</w:t>
      </w:r>
    </w:p>
    <w:p>
      <w:pPr>
        <w:pStyle w:val="Heading2"/>
      </w:pPr>
      <w:r>
        <w:t>2.2 分层职责</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105"/>
        <w:gridCol w:w="3160"/>
        <w:gridCol w:w="4095"/>
      </w:tblGrid>
      <w:tr>
        <w:trPr>
          <w:cantSplit/>
          <w:tblHeader w:val="true"/>
        </w:trPr>
        <w:tc>
          <w:tcPr>
            <w:tcW w:type="dxa" w:w="2105"/>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层级</w:t>
            </w:r>
          </w:p>
        </w:tc>
        <w:tc>
          <w:tcPr>
            <w:tcW w:type="dxa" w:w="3160"/>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职责</w:t>
            </w:r>
          </w:p>
        </w:tc>
        <w:tc>
          <w:tcPr>
            <w:tcW w:type="dxa" w:w="4095"/>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禁止事项</w:t>
            </w:r>
          </w:p>
        </w:tc>
      </w:tr>
      <w:tr>
        <w:trPr>
          <w:cantSplit/>
        </w:trPr>
        <w:tc>
          <w:tcPr>
            <w:tcW w:type="dxa" w:w="210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Flutter 表现层</w:t>
            </w:r>
          </w:p>
        </w:tc>
        <w:tc>
          <w:tcPr>
            <w:tcW w:type="dxa" w:w="316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页面、交互、可访问性、状态展示</w:t>
            </w:r>
          </w:p>
        </w:tc>
        <w:tc>
          <w:tcPr>
            <w:tcW w:type="dxa" w:w="409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不写金额、库存、支付状态机规则</w:t>
            </w:r>
          </w:p>
        </w:tc>
      </w:tr>
      <w:tr>
        <w:trPr>
          <w:cantSplit/>
        </w:trPr>
        <w:tc>
          <w:tcPr>
            <w:tcW w:type="dxa" w:w="210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Flutter 应用层</w:t>
            </w:r>
          </w:p>
        </w:tc>
        <w:tc>
          <w:tcPr>
            <w:tcW w:type="dxa" w:w="316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用例编排、权限检查、事务边界、同步调度</w:t>
            </w:r>
          </w:p>
        </w:tc>
        <w:tc>
          <w:tcPr>
            <w:tcW w:type="dxa" w:w="409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不依赖具体厂商硬件 API</w:t>
            </w:r>
          </w:p>
        </w:tc>
      </w:tr>
      <w:tr>
        <w:trPr>
          <w:cantSplit/>
        </w:trPr>
        <w:tc>
          <w:tcPr>
            <w:tcW w:type="dxa" w:w="210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Flutter 领域层</w:t>
            </w:r>
          </w:p>
        </w:tc>
        <w:tc>
          <w:tcPr>
            <w:tcW w:type="dxa" w:w="316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本地订单、班次、支付引用、离线规则</w:t>
            </w:r>
          </w:p>
        </w:tc>
        <w:tc>
          <w:tcPr>
            <w:tcW w:type="dxa" w:w="409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不依赖 Flutter Widget、HTTP、SQLite 实现</w:t>
            </w:r>
          </w:p>
        </w:tc>
      </w:tr>
      <w:tr>
        <w:trPr>
          <w:cantSplit/>
        </w:trPr>
        <w:tc>
          <w:tcPr>
            <w:tcW w:type="dxa" w:w="210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设备适配层</w:t>
            </w:r>
          </w:p>
        </w:tc>
        <w:tc>
          <w:tcPr>
            <w:tcW w:type="dxa" w:w="316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打印、扫码、称重、钱箱、客显、支付终端</w:t>
            </w:r>
          </w:p>
        </w:tc>
        <w:tc>
          <w:tcPr>
            <w:tcW w:type="dxa" w:w="409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不判断促销、订单和库存业务规则</w:t>
            </w:r>
          </w:p>
        </w:tc>
      </w:tr>
      <w:tr>
        <w:trPr>
          <w:cantSplit/>
        </w:trPr>
        <w:tc>
          <w:tcPr>
            <w:tcW w:type="dxa" w:w="210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服务端接口层</w:t>
            </w:r>
          </w:p>
        </w:tc>
        <w:tc>
          <w:tcPr>
            <w:tcW w:type="dxa" w:w="316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鉴权、参数校验、协议转换、限流</w:t>
            </w:r>
          </w:p>
        </w:tc>
        <w:tc>
          <w:tcPr>
            <w:tcW w:type="dxa" w:w="409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不承载核心业务逻辑</w:t>
            </w:r>
          </w:p>
        </w:tc>
      </w:tr>
      <w:tr>
        <w:trPr>
          <w:cantSplit/>
        </w:trPr>
        <w:tc>
          <w:tcPr>
            <w:tcW w:type="dxa" w:w="210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服务端应用层</w:t>
            </w:r>
          </w:p>
        </w:tc>
        <w:tc>
          <w:tcPr>
            <w:tcW w:type="dxa" w:w="316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命令、查询、事务、领域协作</w:t>
            </w:r>
          </w:p>
        </w:tc>
        <w:tc>
          <w:tcPr>
            <w:tcW w:type="dxa" w:w="409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不跨领域直接修改数据库表</w:t>
            </w:r>
          </w:p>
        </w:tc>
      </w:tr>
      <w:tr>
        <w:trPr>
          <w:cantSplit/>
        </w:trPr>
        <w:tc>
          <w:tcPr>
            <w:tcW w:type="dxa" w:w="210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服务端领域层</w:t>
            </w:r>
          </w:p>
        </w:tc>
        <w:tc>
          <w:tcPr>
            <w:tcW w:type="dxa" w:w="316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聚合、状态机、账本、不变量、领域事件</w:t>
            </w:r>
          </w:p>
        </w:tc>
        <w:tc>
          <w:tcPr>
            <w:tcW w:type="dxa" w:w="409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不依赖 Controller、MyBatis、Redis、第三方 SDK</w:t>
            </w:r>
          </w:p>
        </w:tc>
      </w:tr>
      <w:tr>
        <w:trPr>
          <w:cantSplit/>
        </w:trPr>
        <w:tc>
          <w:tcPr>
            <w:tcW w:type="dxa" w:w="210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基础设施层</w:t>
            </w:r>
          </w:p>
        </w:tc>
        <w:tc>
          <w:tcPr>
            <w:tcW w:type="dxa" w:w="316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数据持久化、消息、缓存、外部接口实现</w:t>
            </w:r>
          </w:p>
        </w:tc>
        <w:tc>
          <w:tcPr>
            <w:tcW w:type="dxa" w:w="409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不反向定义领域规则</w:t>
            </w:r>
          </w:p>
        </w:tc>
      </w:tr>
    </w:tbl>
    <w:p>
      <w:pPr>
        <w:spacing w:before="0" w:after="40"/>
      </w:pPr>
    </w:p>
    <w:p>
      <w:pPr>
        <w:pStyle w:val="Heading2"/>
      </w:pPr>
      <w:r>
        <w:t>2.3 部署形态</w:t>
      </w:r>
    </w:p>
    <w:p>
      <w:pPr>
        <w:pStyle w:val="Heading3"/>
      </w:pPr>
      <w:r>
        <w:t>标准 SaaS</w:t>
      </w:r>
    </w:p>
    <w:p>
      <w:pPr>
        <w:pStyle w:val="ListBullet"/>
        <w:numPr>
          <w:ilvl w:val="0"/>
          <w:numId w:val="10"/>
        </w:numPr>
      </w:pPr>
      <w:r>
        <w:t>模块化单体应用可多实例部署。</w:t>
      </w:r>
    </w:p>
    <w:p>
      <w:pPr>
        <w:pStyle w:val="ListBullet"/>
        <w:numPr>
          <w:ilvl w:val="0"/>
          <w:numId w:val="10"/>
        </w:numPr>
      </w:pPr>
      <w:r>
        <w:t>MySQL 主从或托管高可用数据库。</w:t>
      </w:r>
    </w:p>
    <w:p>
      <w:pPr>
        <w:pStyle w:val="ListBullet"/>
        <w:numPr>
          <w:ilvl w:val="0"/>
          <w:numId w:val="10"/>
        </w:numPr>
      </w:pPr>
      <w:r>
        <w:t>Redis 仅用于缓存、限流、短期锁和会话辅助。</w:t>
      </w:r>
    </w:p>
    <w:p>
      <w:pPr>
        <w:pStyle w:val="ListBullet"/>
        <w:numPr>
          <w:ilvl w:val="0"/>
          <w:numId w:val="10"/>
        </w:numPr>
      </w:pPr>
      <w:r>
        <w:t>对象存储保存导入文件、小票、诊断包和受控原始报文。</w:t>
      </w:r>
    </w:p>
    <w:p>
      <w:pPr>
        <w:pStyle w:val="ListBullet"/>
        <w:numPr>
          <w:ilvl w:val="0"/>
          <w:numId w:val="10"/>
        </w:numPr>
      </w:pPr>
      <w:r>
        <w:t>Nginx/API 网关负责 TLS、路由、基础限流和安全头。</w:t>
      </w:r>
    </w:p>
    <w:p>
      <w:pPr>
        <w:pStyle w:val="Heading3"/>
      </w:pPr>
      <w:r>
        <w:t>企业专属或私有化</w:t>
      </w:r>
    </w:p>
    <w:p>
      <w:pPr>
        <w:pStyle w:val="ListBullet"/>
        <w:numPr>
          <w:ilvl w:val="0"/>
          <w:numId w:val="10"/>
        </w:numPr>
      </w:pPr>
      <w:r>
        <w:t>保持同一代码基线，通过配置和部署清单差异化。</w:t>
      </w:r>
    </w:p>
    <w:p>
      <w:pPr>
        <w:pStyle w:val="ListBullet"/>
        <w:numPr>
          <w:ilvl w:val="0"/>
          <w:numId w:val="10"/>
        </w:numPr>
      </w:pPr>
      <w:r>
        <w:t>不允许为单一客户长期维护不可合并的核心分支。</w:t>
      </w:r>
    </w:p>
    <w:p>
      <w:pPr>
        <w:pStyle w:val="ListBullet"/>
        <w:numPr>
          <w:ilvl w:val="0"/>
          <w:numId w:val="10"/>
        </w:numPr>
      </w:pPr>
      <w:r>
        <w:t>明确数据库、备份、证书、监控、安全补丁和升级责任。</w:t>
      </w:r>
    </w:p>
    <w:p>
      <w:pPr>
        <w:pStyle w:val="Heading1"/>
      </w:pPr>
      <w:r>
        <w:t>三、技术栈基线</w:t>
      </w:r>
    </w:p>
    <w:p>
      <w:pPr>
        <w:pStyle w:val="Heading2"/>
      </w:pPr>
      <w:r>
        <w:t>3.1 服务端</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954"/>
        <w:gridCol w:w="3235"/>
        <w:gridCol w:w="4171"/>
      </w:tblGrid>
      <w:tr>
        <w:trPr>
          <w:cantSplit/>
          <w:tblHeader w:val="true"/>
        </w:trPr>
        <w:tc>
          <w:tcPr>
            <w:tcW w:type="dxa" w:w="1954"/>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类别</w:t>
            </w:r>
          </w:p>
        </w:tc>
        <w:tc>
          <w:tcPr>
            <w:tcW w:type="dxa" w:w="3235"/>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选型</w:t>
            </w:r>
          </w:p>
        </w:tc>
        <w:tc>
          <w:tcPr>
            <w:tcW w:type="dxa" w:w="4171"/>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规则</w:t>
            </w:r>
          </w:p>
        </w:tc>
      </w:tr>
      <w:tr>
        <w:trPr>
          <w:cantSplit/>
        </w:trPr>
        <w:tc>
          <w:tcPr>
            <w:tcW w:type="dxa" w:w="195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基础框架</w:t>
            </w:r>
          </w:p>
        </w:tc>
        <w:tc>
          <w:tcPr>
            <w:tcW w:type="dxa" w:w="323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RuoYi-Vue-Plus 5.6.x 系列</w:t>
            </w:r>
          </w:p>
        </w:tc>
        <w:tc>
          <w:tcPr>
            <w:tcW w:type="dxa" w:w="417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固定 Tag、建立内部 Fork，不直接跟随主分支上线</w:t>
            </w:r>
          </w:p>
        </w:tc>
      </w:tr>
      <w:tr>
        <w:trPr>
          <w:cantSplit/>
        </w:trPr>
        <w:tc>
          <w:tcPr>
            <w:tcW w:type="dxa" w:w="195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Java</w:t>
            </w:r>
          </w:p>
        </w:tc>
        <w:tc>
          <w:tcPr>
            <w:tcW w:type="dxa" w:w="323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遵循所选 RuoYi 版本的 Java 17 编译基线</w:t>
            </w:r>
          </w:p>
        </w:tc>
        <w:tc>
          <w:tcPr>
            <w:tcW w:type="dxa" w:w="417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如升级 JDK 21，必须完成依赖、性能和全量回归验证</w:t>
            </w:r>
          </w:p>
        </w:tc>
      </w:tr>
      <w:tr>
        <w:trPr>
          <w:cantSplit/>
        </w:trPr>
        <w:tc>
          <w:tcPr>
            <w:tcW w:type="dxa" w:w="195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Web框架</w:t>
            </w:r>
          </w:p>
        </w:tc>
        <w:tc>
          <w:tcPr>
            <w:tcW w:type="dxa" w:w="323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Spring Boot 3.5.x 基线</w:t>
            </w:r>
          </w:p>
        </w:tc>
        <w:tc>
          <w:tcPr>
            <w:tcW w:type="dxa" w:w="417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不在商业V1强升 Spring Boot 4</w:t>
            </w:r>
          </w:p>
        </w:tc>
      </w:tr>
      <w:tr>
        <w:trPr>
          <w:cantSplit/>
        </w:trPr>
        <w:tc>
          <w:tcPr>
            <w:tcW w:type="dxa" w:w="195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持久化</w:t>
            </w:r>
          </w:p>
        </w:tc>
        <w:tc>
          <w:tcPr>
            <w:tcW w:type="dxa" w:w="323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MyBatis-Plus + 显式 Mapper/Repository</w:t>
            </w:r>
          </w:p>
        </w:tc>
        <w:tc>
          <w:tcPr>
            <w:tcW w:type="dxa" w:w="417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核心查询必须审查 SQL 和租户条件</w:t>
            </w:r>
          </w:p>
        </w:tc>
      </w:tr>
      <w:tr>
        <w:trPr>
          <w:cantSplit/>
        </w:trPr>
        <w:tc>
          <w:tcPr>
            <w:tcW w:type="dxa" w:w="195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数据库</w:t>
            </w:r>
          </w:p>
        </w:tc>
        <w:tc>
          <w:tcPr>
            <w:tcW w:type="dxa" w:w="323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MySQL 8.4 LTS 或经认证的兼容版本</w:t>
            </w:r>
          </w:p>
        </w:tc>
        <w:tc>
          <w:tcPr>
            <w:tcW w:type="dxa" w:w="417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InnoDB、utf8mb4、严格 SQL 模式</w:t>
            </w:r>
          </w:p>
        </w:tc>
      </w:tr>
      <w:tr>
        <w:trPr>
          <w:cantSplit/>
        </w:trPr>
        <w:tc>
          <w:tcPr>
            <w:tcW w:type="dxa" w:w="195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数据迁移</w:t>
            </w:r>
          </w:p>
        </w:tc>
        <w:tc>
          <w:tcPr>
            <w:tcW w:type="dxa" w:w="323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Flyway</w:t>
            </w:r>
          </w:p>
        </w:tc>
        <w:tc>
          <w:tcPr>
            <w:tcW w:type="dxa" w:w="417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迁移脚本纳入版本库且只前进发布</w:t>
            </w:r>
          </w:p>
        </w:tc>
      </w:tr>
      <w:tr>
        <w:trPr>
          <w:cantSplit/>
        </w:trPr>
        <w:tc>
          <w:tcPr>
            <w:tcW w:type="dxa" w:w="195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缓存</w:t>
            </w:r>
          </w:p>
        </w:tc>
        <w:tc>
          <w:tcPr>
            <w:tcW w:type="dxa" w:w="323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Redis 兼容服务</w:t>
            </w:r>
          </w:p>
        </w:tc>
        <w:tc>
          <w:tcPr>
            <w:tcW w:type="dxa" w:w="417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不作为订单、库存、支付的唯一事实来源</w:t>
            </w:r>
          </w:p>
        </w:tc>
      </w:tr>
      <w:tr>
        <w:trPr>
          <w:cantSplit/>
        </w:trPr>
        <w:tc>
          <w:tcPr>
            <w:tcW w:type="dxa" w:w="195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异步可靠性</w:t>
            </w:r>
          </w:p>
        </w:tc>
        <w:tc>
          <w:tcPr>
            <w:tcW w:type="dxa" w:w="323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数据库 Outbox 为必选；消息队列按容量引入</w:t>
            </w:r>
          </w:p>
        </w:tc>
        <w:tc>
          <w:tcPr>
            <w:tcW w:type="dxa" w:w="417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首期不得为“架构先进”而滥用 MQ</w:t>
            </w:r>
          </w:p>
        </w:tc>
      </w:tr>
      <w:tr>
        <w:trPr>
          <w:cantSplit/>
        </w:trPr>
        <w:tc>
          <w:tcPr>
            <w:tcW w:type="dxa" w:w="195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文件</w:t>
            </w:r>
          </w:p>
        </w:tc>
        <w:tc>
          <w:tcPr>
            <w:tcW w:type="dxa" w:w="323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S3 兼容对象存储</w:t>
            </w:r>
          </w:p>
        </w:tc>
        <w:tc>
          <w:tcPr>
            <w:tcW w:type="dxa" w:w="417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私有桶、短时授权、病毒与格式检查</w:t>
            </w:r>
          </w:p>
        </w:tc>
      </w:tr>
      <w:tr>
        <w:trPr>
          <w:cantSplit/>
        </w:trPr>
        <w:tc>
          <w:tcPr>
            <w:tcW w:type="dxa" w:w="195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接口文档</w:t>
            </w:r>
          </w:p>
        </w:tc>
        <w:tc>
          <w:tcPr>
            <w:tcW w:type="dxa" w:w="323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OpenAPI 3</w:t>
            </w:r>
          </w:p>
        </w:tc>
        <w:tc>
          <w:tcPr>
            <w:tcW w:type="dxa" w:w="417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文档由代码/契约生成并纳入兼容性检查</w:t>
            </w:r>
          </w:p>
        </w:tc>
      </w:tr>
      <w:tr>
        <w:trPr>
          <w:cantSplit/>
        </w:trPr>
        <w:tc>
          <w:tcPr>
            <w:tcW w:type="dxa" w:w="195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可观测性</w:t>
            </w:r>
          </w:p>
        </w:tc>
        <w:tc>
          <w:tcPr>
            <w:tcW w:type="dxa" w:w="323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OpenTelemetry + 指标/日志/链路平台</w:t>
            </w:r>
          </w:p>
        </w:tc>
        <w:tc>
          <w:tcPr>
            <w:tcW w:type="dxa" w:w="417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统一 Trace ID、租户和业务标识脱敏记录</w:t>
            </w:r>
          </w:p>
        </w:tc>
      </w:tr>
    </w:tbl>
    <w:p>
      <w:pPr>
        <w:spacing w:before="0" w:after="40"/>
      </w:pPr>
    </w:p>
    <w:p>
      <w:pPr>
        <w:pStyle w:val="Heading2"/>
      </w:pPr>
      <w:r>
        <w:t>3.2 Web 管理后台</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72"/>
        <w:gridCol w:w="7488"/>
      </w:tblGrid>
      <w:tr>
        <w:trPr>
          <w:cantSplit/>
          <w:tblHeader w:val="true"/>
        </w:trPr>
        <w:tc>
          <w:tcPr>
            <w:tcW w:type="dxa" w:w="1872"/>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类别</w:t>
            </w:r>
          </w:p>
        </w:tc>
        <w:tc>
          <w:tcPr>
            <w:tcW w:type="dxa" w:w="7488"/>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选型与规范</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框架</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使用 RuoYi-Vue-Plus 配套 Vue 3 + TypeScript 前端</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UI</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保持配套 UI 技术路线，建立本产品主题和设计 Token</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状态</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只存 UI 和会话状态，不在浏览器保存敏感业务事实</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权限</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路由权限只负责展示；最终授权必须由服务端执行</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API</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从 OpenAPI 生成或统一封装客户端，禁止页面散写请求格式</w:t>
            </w:r>
          </w:p>
        </w:tc>
      </w:tr>
    </w:tbl>
    <w:p>
      <w:pPr>
        <w:spacing w:before="0" w:after="40"/>
      </w:pPr>
    </w:p>
    <w:p>
      <w:pPr>
        <w:pStyle w:val="Heading2"/>
      </w:pPr>
      <w:r>
        <w:t>3.3 Flutter 终端</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954"/>
        <w:gridCol w:w="3235"/>
        <w:gridCol w:w="4171"/>
      </w:tblGrid>
      <w:tr>
        <w:trPr>
          <w:cantSplit/>
          <w:tblHeader w:val="true"/>
        </w:trPr>
        <w:tc>
          <w:tcPr>
            <w:tcW w:type="dxa" w:w="1954"/>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类别</w:t>
            </w:r>
          </w:p>
        </w:tc>
        <w:tc>
          <w:tcPr>
            <w:tcW w:type="dxa" w:w="3235"/>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推荐基线</w:t>
            </w:r>
          </w:p>
        </w:tc>
        <w:tc>
          <w:tcPr>
            <w:tcW w:type="dxa" w:w="4171"/>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规则</w:t>
            </w:r>
          </w:p>
        </w:tc>
      </w:tr>
      <w:tr>
        <w:trPr>
          <w:cantSplit/>
        </w:trPr>
        <w:tc>
          <w:tcPr>
            <w:tcW w:type="dxa" w:w="195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SDK</w:t>
            </w:r>
          </w:p>
        </w:tc>
        <w:tc>
          <w:tcPr>
            <w:tcW w:type="dxa" w:w="323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Flutter Stable 固定版本</w:t>
            </w:r>
          </w:p>
        </w:tc>
        <w:tc>
          <w:tcPr>
            <w:tcW w:type="dxa" w:w="417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SDK 与依赖锁定，按季度评估升级</w:t>
            </w:r>
          </w:p>
        </w:tc>
      </w:tr>
      <w:tr>
        <w:trPr>
          <w:cantSplit/>
        </w:trPr>
        <w:tc>
          <w:tcPr>
            <w:tcW w:type="dxa" w:w="195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目标平台</w:t>
            </w:r>
          </w:p>
        </w:tc>
        <w:tc>
          <w:tcPr>
            <w:tcW w:type="dxa" w:w="323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Android 优先；Windows 兼容</w:t>
            </w:r>
          </w:p>
        </w:tc>
        <w:tc>
          <w:tcPr>
            <w:tcW w:type="dxa" w:w="417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Android 正式发布，Windows 经认证后发布</w:t>
            </w:r>
          </w:p>
        </w:tc>
      </w:tr>
      <w:tr>
        <w:trPr>
          <w:cantSplit/>
        </w:trPr>
        <w:tc>
          <w:tcPr>
            <w:tcW w:type="dxa" w:w="195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状态管理</w:t>
            </w:r>
          </w:p>
        </w:tc>
        <w:tc>
          <w:tcPr>
            <w:tcW w:type="dxa" w:w="323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Riverpod 系列或项目统一批准方案</w:t>
            </w:r>
          </w:p>
        </w:tc>
        <w:tc>
          <w:tcPr>
            <w:tcW w:type="dxa" w:w="417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只允许一种主状态管理方案，不混用多套范式</w:t>
            </w:r>
          </w:p>
        </w:tc>
      </w:tr>
      <w:tr>
        <w:trPr>
          <w:cantSplit/>
        </w:trPr>
        <w:tc>
          <w:tcPr>
            <w:tcW w:type="dxa" w:w="195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路由</w:t>
            </w:r>
          </w:p>
        </w:tc>
        <w:tc>
          <w:tcPr>
            <w:tcW w:type="dxa" w:w="323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go_router 或统一封装</w:t>
            </w:r>
          </w:p>
        </w:tc>
        <w:tc>
          <w:tcPr>
            <w:tcW w:type="dxa" w:w="417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路由权限不代替业务授权</w:t>
            </w:r>
          </w:p>
        </w:tc>
      </w:tr>
      <w:tr>
        <w:trPr>
          <w:cantSplit/>
        </w:trPr>
        <w:tc>
          <w:tcPr>
            <w:tcW w:type="dxa" w:w="195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网络</w:t>
            </w:r>
          </w:p>
        </w:tc>
        <w:tc>
          <w:tcPr>
            <w:tcW w:type="dxa" w:w="323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Dio 或统一 HTTP Client</w:t>
            </w:r>
          </w:p>
        </w:tc>
        <w:tc>
          <w:tcPr>
            <w:tcW w:type="dxa" w:w="417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统一超时、重试、签名、证书和错误映射</w:t>
            </w:r>
          </w:p>
        </w:tc>
      </w:tr>
      <w:tr>
        <w:trPr>
          <w:cantSplit/>
        </w:trPr>
        <w:tc>
          <w:tcPr>
            <w:tcW w:type="dxa" w:w="195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本地数据库</w:t>
            </w:r>
          </w:p>
        </w:tc>
        <w:tc>
          <w:tcPr>
            <w:tcW w:type="dxa" w:w="323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SQLite + Drift/等价成熟封装</w:t>
            </w:r>
          </w:p>
        </w:tc>
        <w:tc>
          <w:tcPr>
            <w:tcW w:type="dxa" w:w="417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交易表、Outbox 和迁移必须使用事务</w:t>
            </w:r>
          </w:p>
        </w:tc>
      </w:tr>
      <w:tr>
        <w:trPr>
          <w:cantSplit/>
        </w:trPr>
        <w:tc>
          <w:tcPr>
            <w:tcW w:type="dxa" w:w="195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模型</w:t>
            </w:r>
          </w:p>
        </w:tc>
        <w:tc>
          <w:tcPr>
            <w:tcW w:type="dxa" w:w="323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不可变模型 + JSON 代码生成</w:t>
            </w:r>
          </w:p>
        </w:tc>
        <w:tc>
          <w:tcPr>
            <w:tcW w:type="dxa" w:w="417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云端 DTO、本地实体、领域模型分离</w:t>
            </w:r>
          </w:p>
        </w:tc>
      </w:tr>
      <w:tr>
        <w:trPr>
          <w:cantSplit/>
        </w:trPr>
        <w:tc>
          <w:tcPr>
            <w:tcW w:type="dxa" w:w="195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安全存储</w:t>
            </w:r>
          </w:p>
        </w:tc>
        <w:tc>
          <w:tcPr>
            <w:tcW w:type="dxa" w:w="323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Android Keystore/Windows 安全存储封装</w:t>
            </w:r>
          </w:p>
        </w:tc>
        <w:tc>
          <w:tcPr>
            <w:tcW w:type="dxa" w:w="417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Token、设备私钥不得明文落库</w:t>
            </w:r>
          </w:p>
        </w:tc>
      </w:tr>
      <w:tr>
        <w:trPr>
          <w:cantSplit/>
        </w:trPr>
        <w:tc>
          <w:tcPr>
            <w:tcW w:type="dxa" w:w="195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原生调用</w:t>
            </w:r>
          </w:p>
        </w:tc>
        <w:tc>
          <w:tcPr>
            <w:tcW w:type="dxa" w:w="323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Pigeon/Platform Channel/FFI 统一封装</w:t>
            </w:r>
          </w:p>
        </w:tc>
        <w:tc>
          <w:tcPr>
            <w:tcW w:type="dxa" w:w="417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UI 和业务层禁止直接调用 MethodChannel</w:t>
            </w:r>
          </w:p>
        </w:tc>
      </w:tr>
      <w:tr>
        <w:trPr>
          <w:cantSplit/>
        </w:trPr>
        <w:tc>
          <w:tcPr>
            <w:tcW w:type="dxa" w:w="195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崩溃与诊断</w:t>
            </w:r>
          </w:p>
        </w:tc>
        <w:tc>
          <w:tcPr>
            <w:tcW w:type="dxa" w:w="323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可替换的 Crash/Log Adapter</w:t>
            </w:r>
          </w:p>
        </w:tc>
        <w:tc>
          <w:tcPr>
            <w:tcW w:type="dxa" w:w="417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日志脱敏、用户授权上传、支持离线缓存</w:t>
            </w:r>
          </w:p>
        </w:tc>
      </w:tr>
    </w:tbl>
    <w:p>
      <w:pPr>
        <w:spacing w:before="0" w:after="40"/>
      </w:pPr>
    </w:p>
    <w:p>
      <w:r>
        <w:t>所有第三方包必须经过活跃度、许可证、维护者、平台支持、已知漏洞和替换成本评审；关键链路应当有自有接口和可替换实现。</w:t>
      </w:r>
    </w:p>
    <w:p>
      <w:pPr>
        <w:pStyle w:val="Heading1"/>
      </w:pPr>
      <w:r>
        <w:t>四、服务端架构规范</w:t>
      </w:r>
    </w:p>
    <w:p>
      <w:pPr>
        <w:pStyle w:val="Heading2"/>
      </w:pPr>
      <w:r>
        <w:t>4.1 RuoYi 的使用边界</w:t>
      </w:r>
    </w:p>
    <w:p>
      <w:r>
        <w:t>RuoYi-Vue-Plus 主要复用：</w:t>
      </w:r>
    </w:p>
    <w:p>
      <w:pPr>
        <w:pStyle w:val="ListBullet"/>
        <w:numPr>
          <w:ilvl w:val="0"/>
          <w:numId w:val="10"/>
        </w:numPr>
      </w:pPr>
      <w:r>
        <w:t>租户生命周期和租户套餐基础能力。</w:t>
      </w:r>
    </w:p>
    <w:p>
      <w:pPr>
        <w:pStyle w:val="ListBullet"/>
        <w:numPr>
          <w:ilvl w:val="0"/>
          <w:numId w:val="10"/>
        </w:numPr>
      </w:pPr>
      <w:r>
        <w:t>用户、角色、部门、岗位、菜单和数据权限。</w:t>
      </w:r>
    </w:p>
    <w:p>
      <w:pPr>
        <w:pStyle w:val="ListBullet"/>
        <w:numPr>
          <w:ilvl w:val="0"/>
          <w:numId w:val="10"/>
        </w:numPr>
      </w:pPr>
      <w:r>
        <w:t>登录、审计、字典、参数、文件和后台任务基础设施。</w:t>
      </w:r>
    </w:p>
    <w:p>
      <w:pPr>
        <w:pStyle w:val="ListBullet"/>
        <w:numPr>
          <w:ilvl w:val="0"/>
          <w:numId w:val="10"/>
        </w:numPr>
      </w:pPr>
      <w:r>
        <w:t>Web 管理后台、通用查询和辅助资料页面。</w:t>
      </w:r>
    </w:p>
    <w:p>
      <w:r>
        <w:t>以下部分必须自研且不得与若依通用模块混写：</w:t>
      </w:r>
    </w:p>
    <w:p>
      <w:pPr>
        <w:pStyle w:val="ListBullet"/>
        <w:numPr>
          <w:ilvl w:val="0"/>
          <w:numId w:val="10"/>
        </w:numPr>
      </w:pPr>
      <w:r>
        <w:t>商品与主数据、价格、促销。</w:t>
      </w:r>
    </w:p>
    <w:p>
      <w:pPr>
        <w:pStyle w:val="ListBullet"/>
        <w:numPr>
          <w:ilvl w:val="0"/>
          <w:numId w:val="10"/>
        </w:numPr>
      </w:pPr>
      <w:r>
        <w:t>POS 订单、支付、退款、班次、交班。</w:t>
      </w:r>
    </w:p>
    <w:p>
      <w:pPr>
        <w:pStyle w:val="ListBullet"/>
        <w:numPr>
          <w:ilvl w:val="0"/>
          <w:numId w:val="10"/>
        </w:numPr>
      </w:pPr>
      <w:r>
        <w:t>库存账本、预占、成本和盘点。</w:t>
      </w:r>
    </w:p>
    <w:p>
      <w:pPr>
        <w:pStyle w:val="ListBullet"/>
        <w:numPr>
          <w:ilvl w:val="0"/>
          <w:numId w:val="10"/>
        </w:numPr>
      </w:pPr>
      <w:r>
        <w:t>采购、调拨、加盟订货、往来结算。</w:t>
      </w:r>
    </w:p>
    <w:p>
      <w:pPr>
        <w:pStyle w:val="ListBullet"/>
        <w:numPr>
          <w:ilvl w:val="0"/>
          <w:numId w:val="10"/>
        </w:numPr>
      </w:pPr>
      <w:r>
        <w:t>会员积分、优惠券、储值账本。</w:t>
      </w:r>
    </w:p>
    <w:p>
      <w:pPr>
        <w:pStyle w:val="ListBullet"/>
        <w:numPr>
          <w:ilvl w:val="0"/>
          <w:numId w:val="10"/>
        </w:numPr>
      </w:pPr>
      <w:r>
        <w:t>终端同步、设备协议和连接器运行时。</w:t>
      </w:r>
    </w:p>
    <w:p>
      <w:pPr>
        <w:pStyle w:val="Heading2"/>
      </w:pPr>
      <w:r>
        <w:t>4.2 模块建议</w:t>
      </w:r>
    </w:p>
    <w:p>
      <w:pPr>
        <w:spacing w:before="80" w:after="120" w:line="252" w:lineRule="auto"/>
        <w:ind w:left="115" w:right="115"/>
        <w:shd w:fill="F4F6F9"/>
        <w:pBdr>
          <w:top w:val="single" w:sz="4" w:space="4" w:color="D0D5DD"/>
          <w:left w:val="single" w:sz="4" w:space="4" w:color="D0D5DD"/>
          <w:bottom w:val="single" w:sz="4" w:space="4" w:color="D0D5DD"/>
          <w:right w:val="single" w:sz="4" w:space="4" w:color="D0D5DD"/>
        </w:pBdr>
      </w:pPr>
      <w:r>
        <w:rPr>
          <w:rFonts w:ascii="Consolas" w:hAnsi="Consolas" w:eastAsia="等线"/>
          <w:color w:val="202124"/>
          <w:sz w:val="17"/>
        </w:rPr>
        <w:t>server/</w:t>
        <w:br/>
        <w:t>├─ ruoyi-admin/                     应用启动与管理接口装配</w:t>
        <w:br/>
        <w:t>├─ ruoyi-common/                    若依公共能力，谨慎修改</w:t>
        <w:br/>
        <w:t>├─ platform-modules/                租户、IAM、审计、配置、订阅</w:t>
        <w:br/>
        <w:t>├─ pos-modules/</w:t>
        <w:br/>
        <w:t>│  ├─ pos-masterdata/               商品、条码、单位、供应商基础资料</w:t>
        <w:br/>
        <w:t>│  ├─ pos-pricing/                  价格、促销、优惠分摊</w:t>
        <w:br/>
        <w:t>│  ├─ pos-order/                    销售订单、退货、班次</w:t>
        <w:br/>
        <w:t>│  ├─ pos-payment/                  支付、退款、撤销、对账</w:t>
        <w:br/>
        <w:t>│  ├─ pos-inventory/                库存账本、预占、成本、盘点</w:t>
        <w:br/>
        <w:t>│  ├─ pos-procurement/              采购、调拨、补货</w:t>
        <w:br/>
        <w:t>│  ├─ pos-member/                   会员、积分、券、储值引用</w:t>
        <w:br/>
        <w:t>│  ├─ pos-settlement/               往来、加盟和供应商结算</w:t>
        <w:br/>
        <w:t>│  ├─ pos-device/                   终端、版本、配置、诊断</w:t>
        <w:br/>
        <w:t>│  └─ pos-sync/                     数据包、Outbox接收、冲突处理</w:t>
        <w:br/>
        <w:t>├─ integration-modules/</w:t>
        <w:br/>
        <w:t>│  ├─ connector-runtime/            连接器运行时和标准数据契约</w:t>
        <w:br/>
        <w:t>│  └─ connector-*/                  鲸熵汇、美团、支付、财务等适配器</w:t>
        <w:br/>
        <w:t>└─ architecture-tests/              模块依赖和租户隔离测试</w:t>
      </w:r>
    </w:p>
    <w:p>
      <w:r>
        <w:t>具体目录可以适配 RuoYi 上游结构，但领域边界、依赖方向和所有权不得改变。</w:t>
      </w:r>
    </w:p>
    <w:p>
      <w:pPr>
        <w:pStyle w:val="Heading2"/>
      </w:pPr>
      <w:r>
        <w:t>4.3 单模块分层</w:t>
      </w:r>
    </w:p>
    <w:p>
      <w:pPr>
        <w:spacing w:before="80" w:after="120" w:line="252" w:lineRule="auto"/>
        <w:ind w:left="115" w:right="115"/>
        <w:shd w:fill="F4F6F9"/>
        <w:pBdr>
          <w:top w:val="single" w:sz="4" w:space="4" w:color="D0D5DD"/>
          <w:left w:val="single" w:sz="4" w:space="4" w:color="D0D5DD"/>
          <w:bottom w:val="single" w:sz="4" w:space="4" w:color="D0D5DD"/>
          <w:right w:val="single" w:sz="4" w:space="4" w:color="D0D5DD"/>
        </w:pBdr>
      </w:pPr>
      <w:r>
        <w:rPr>
          <w:rFonts w:ascii="Consolas" w:hAnsi="Consolas" w:eastAsia="等线"/>
          <w:color w:val="202124"/>
          <w:sz w:val="17"/>
        </w:rPr>
        <w:t>com.company.pos.order</w:t>
        <w:br/>
        <w:t>├─ interfaces       Controller、请求/响应DTO、消息入口</w:t>
        <w:br/>
        <w:t>├─ application      Command、Query、用例服务、事务编排</w:t>
        <w:br/>
        <w:t>├─ domain           聚合、实体、值对象、领域服务、事件、仓储接口</w:t>
        <w:br/>
        <w:t>└─ infrastructure   MyBatis、Repository实现、消息、外部服务适配</w:t>
      </w:r>
    </w:p>
    <w:p>
      <w:r>
        <w:t xml:space="preserve">依赖方向必须为 </w:t>
      </w:r>
      <w:r>
        <w:rPr>
          <w:rFonts w:ascii="Consolas" w:hAnsi="Consolas" w:eastAsia="等线"/>
          <w:color w:val="1F4D78"/>
          <w:sz w:val="20"/>
        </w:rPr>
        <w:t>interfaces -&gt; application -&gt; domain</w:t>
      </w:r>
      <w:r>
        <w:t>，</w:t>
      </w:r>
      <w:r>
        <w:rPr>
          <w:rFonts w:ascii="Consolas" w:hAnsi="Consolas" w:eastAsia="等线"/>
          <w:color w:val="1F4D78"/>
          <w:sz w:val="20"/>
        </w:rPr>
        <w:t>infrastructure -&gt; domain</w:t>
      </w:r>
      <w:r>
        <w:t>。领域层不得依赖 RuoYi BaseEntity、MyBatis 注解、Spring Controller 或第三方 SDK。</w:t>
      </w:r>
    </w:p>
    <w:p>
      <w:pPr>
        <w:pStyle w:val="Heading2"/>
      </w:pPr>
      <w:r>
        <w:t>4.4 事务与一致性</w:t>
      </w:r>
    </w:p>
    <w:p>
      <w:pPr>
        <w:pStyle w:val="ListBullet"/>
        <w:numPr>
          <w:ilvl w:val="0"/>
          <w:numId w:val="10"/>
        </w:numPr>
      </w:pPr>
      <w:r>
        <w:t>一个本地事务只能修改一个领域模块拥有的交易表。</w:t>
      </w:r>
    </w:p>
    <w:p>
      <w:pPr>
        <w:pStyle w:val="ListBullet"/>
        <w:numPr>
          <w:ilvl w:val="0"/>
          <w:numId w:val="10"/>
        </w:numPr>
      </w:pPr>
      <w:r>
        <w:t>跨领域使用应用编排和事件，不直接跨模块更新表。</w:t>
      </w:r>
    </w:p>
    <w:p>
      <w:pPr>
        <w:pStyle w:val="ListBullet"/>
        <w:numPr>
          <w:ilvl w:val="0"/>
          <w:numId w:val="10"/>
        </w:numPr>
      </w:pPr>
      <w:r>
        <w:t>订单、支付、退款、库存分别维护独立状态机，不合并为单一状态字段。</w:t>
      </w:r>
    </w:p>
    <w:p>
      <w:pPr>
        <w:pStyle w:val="ListBullet"/>
        <w:numPr>
          <w:ilvl w:val="0"/>
          <w:numId w:val="10"/>
        </w:numPr>
      </w:pPr>
      <w:r>
        <w:t>领域状态和 Outbox 事件必须在同一本地事务提交。</w:t>
      </w:r>
    </w:p>
    <w:p>
      <w:pPr>
        <w:pStyle w:val="ListBullet"/>
        <w:numPr>
          <w:ilvl w:val="0"/>
          <w:numId w:val="10"/>
        </w:numPr>
      </w:pPr>
      <w:r>
        <w:t xml:space="preserve">消费者按 </w:t>
      </w:r>
      <w:r>
        <w:rPr>
          <w:rFonts w:ascii="Consolas" w:hAnsi="Consolas" w:eastAsia="等线"/>
          <w:color w:val="1F4D78"/>
          <w:sz w:val="20"/>
        </w:rPr>
        <w:t>event_id</w:t>
      </w:r>
      <w:r>
        <w:t xml:space="preserve"> 幂等处理，允许重复投递，禁止假设“消息只来一次”。</w:t>
      </w:r>
    </w:p>
    <w:p>
      <w:pPr>
        <w:pStyle w:val="ListBullet"/>
        <w:numPr>
          <w:ilvl w:val="0"/>
          <w:numId w:val="10"/>
        </w:numPr>
      </w:pPr>
      <w:r>
        <w:t>外部支付和连接器调用不得放在长数据库事务内。</w:t>
      </w:r>
    </w:p>
    <w:p>
      <w:pPr>
        <w:pStyle w:val="ListBullet"/>
        <w:numPr>
          <w:ilvl w:val="0"/>
          <w:numId w:val="10"/>
        </w:numPr>
      </w:pPr>
      <w:r>
        <w:t>未知支付状态必须查询确认，不得自动再次扣款。</w:t>
      </w:r>
    </w:p>
    <w:p>
      <w:pPr>
        <w:pStyle w:val="ListBullet"/>
        <w:numPr>
          <w:ilvl w:val="0"/>
          <w:numId w:val="10"/>
        </w:numPr>
      </w:pPr>
      <w:r>
        <w:t>库存使用账本流水表达变化，禁止只修改余额而不留来源流水。</w:t>
      </w:r>
    </w:p>
    <w:p>
      <w:pPr>
        <w:pStyle w:val="Heading2"/>
      </w:pPr>
      <w:r>
        <w:t>4.5 缓存规范</w:t>
      </w:r>
    </w:p>
    <w:p>
      <w:pPr>
        <w:pStyle w:val="ListBullet"/>
        <w:numPr>
          <w:ilvl w:val="0"/>
          <w:numId w:val="10"/>
        </w:numPr>
      </w:pPr>
      <w:r>
        <w:t>缓存必须可以从数据库或受控数据包重建。</w:t>
      </w:r>
    </w:p>
    <w:p>
      <w:pPr>
        <w:pStyle w:val="ListBullet"/>
        <w:numPr>
          <w:ilvl w:val="0"/>
          <w:numId w:val="10"/>
        </w:numPr>
      </w:pPr>
      <w:r>
        <w:t>Key 必须包含环境、租户、业务域、对象标识和版本。</w:t>
      </w:r>
    </w:p>
    <w:p>
      <w:pPr>
        <w:pStyle w:val="ListBullet"/>
        <w:numPr>
          <w:ilvl w:val="0"/>
          <w:numId w:val="10"/>
        </w:numPr>
      </w:pPr>
      <w:r>
        <w:t>禁止使用通配符批量删除生产缓存。</w:t>
      </w:r>
    </w:p>
    <w:p>
      <w:pPr>
        <w:pStyle w:val="ListBullet"/>
        <w:numPr>
          <w:ilvl w:val="0"/>
          <w:numId w:val="10"/>
        </w:numPr>
      </w:pPr>
      <w:r>
        <w:t>缓存穿透、击穿和雪崩必须有空值、互斥或随机过期策略。</w:t>
      </w:r>
    </w:p>
    <w:p>
      <w:pPr>
        <w:pStyle w:val="ListBullet"/>
        <w:numPr>
          <w:ilvl w:val="0"/>
          <w:numId w:val="10"/>
        </w:numPr>
      </w:pPr>
      <w:r>
        <w:t>金额、支付最终状态和库存账本不得仅存在缓存中。</w:t>
      </w:r>
    </w:p>
    <w:p>
      <w:pPr>
        <w:pStyle w:val="Heading1"/>
      </w:pPr>
      <w:r>
        <w:t>五、Flutter 客户端架构规范</w:t>
      </w:r>
    </w:p>
    <w:p>
      <w:pPr>
        <w:pStyle w:val="Heading2"/>
      </w:pPr>
      <w:r>
        <w:t>5.1 产品拆分</w:t>
      </w:r>
    </w:p>
    <w:p>
      <w:r>
        <w:t>Flutter 采用共享代码包、独立应用壳的方式，避免一个 App 包含所有角色和页面：</w:t>
      </w:r>
    </w:p>
    <w:p>
      <w:pPr>
        <w:spacing w:before="80" w:after="120" w:line="252" w:lineRule="auto"/>
        <w:ind w:left="115" w:right="115"/>
        <w:shd w:fill="F4F6F9"/>
        <w:pBdr>
          <w:top w:val="single" w:sz="4" w:space="4" w:color="D0D5DD"/>
          <w:left w:val="single" w:sz="4" w:space="4" w:color="D0D5DD"/>
          <w:bottom w:val="single" w:sz="4" w:space="4" w:color="D0D5DD"/>
          <w:right w:val="single" w:sz="4" w:space="4" w:color="D0D5DD"/>
        </w:pBdr>
      </w:pPr>
      <w:r>
        <w:rPr>
          <w:rFonts w:ascii="Consolas" w:hAnsi="Consolas" w:eastAsia="等线"/>
          <w:color w:val="202124"/>
          <w:sz w:val="17"/>
        </w:rPr>
        <w:t>client/</w:t>
        <w:br/>
        <w:t>├─ apps/</w:t>
        <w:br/>
        <w:t>│  ├─ pos_app/                      Android POS；后续启用Windows构建</w:t>
        <w:br/>
        <w:t>│  ├─ pda_app/                      收货、盘点、调拨、拣货</w:t>
        <w:br/>
        <w:t>│  └─ merchant_app/                 店长和老板移动端</w:t>
        <w:br/>
        <w:t>├─ packages/</w:t>
        <w:br/>
        <w:t>│  ├─ design_system/                颜色、字体、间距、控件和无障碍</w:t>
        <w:br/>
        <w:t>│  ├─ domain_models/                跨端共享值对象和领域类型</w:t>
        <w:br/>
        <w:t>│  ├─ api_contract/                 API DTO、错误码和版本</w:t>
        <w:br/>
        <w:t>│  ├─ local_store/                  SQLite、迁移和事务封装</w:t>
        <w:br/>
        <w:t>│  ├─ sync_engine/                  Outbox、Inbox、游标和冲突</w:t>
        <w:br/>
        <w:t>│  ├─ device_contract/              设备抽象和能力模型</w:t>
        <w:br/>
        <w:t>│  ├─ auth_session/                 登录、设备身份、离线授权</w:t>
        <w:br/>
        <w:t>│  ├─ observability/                日志、指标、崩溃和诊断</w:t>
        <w:br/>
        <w:t>│  └─ feature_*/                    可复用业务功能</w:t>
        <w:br/>
        <w:t>└─ native/</w:t>
        <w:br/>
        <w:t xml:space="preserve">   ├─ android_vendor_*/             各硬件厂商适配实现</w:t>
        <w:br/>
        <w:t xml:space="preserve">   └─ windows_edge_contract/        Windows Edge Agent协议</w:t>
      </w:r>
    </w:p>
    <w:p>
      <w:pPr>
        <w:pStyle w:val="Heading2"/>
      </w:pPr>
      <w:r>
        <w:t>5.2 应用分层</w:t>
      </w:r>
    </w:p>
    <w:p>
      <w:pPr>
        <w:pStyle w:val="ListBullet"/>
        <w:numPr>
          <w:ilvl w:val="0"/>
          <w:numId w:val="10"/>
        </w:numPr>
      </w:pPr>
      <w:r>
        <w:rPr>
          <w:rFonts w:ascii="Consolas" w:hAnsi="Consolas" w:eastAsia="等线"/>
          <w:color w:val="1F4D78"/>
          <w:sz w:val="20"/>
        </w:rPr>
        <w:t>presentation</w:t>
      </w:r>
      <w:r>
        <w:t>：页面、Widget、输入和状态展示。</w:t>
      </w:r>
    </w:p>
    <w:p>
      <w:pPr>
        <w:pStyle w:val="ListBullet"/>
        <w:numPr>
          <w:ilvl w:val="0"/>
          <w:numId w:val="10"/>
        </w:numPr>
      </w:pPr>
      <w:r>
        <w:rPr>
          <w:rFonts w:ascii="Consolas" w:hAnsi="Consolas" w:eastAsia="等线"/>
          <w:color w:val="1F4D78"/>
          <w:sz w:val="20"/>
        </w:rPr>
        <w:t>application</w:t>
      </w:r>
      <w:r>
        <w:t>：销售、挂单、结算、退货、交班等用例。</w:t>
      </w:r>
    </w:p>
    <w:p>
      <w:pPr>
        <w:pStyle w:val="ListBullet"/>
        <w:numPr>
          <w:ilvl w:val="0"/>
          <w:numId w:val="10"/>
        </w:numPr>
      </w:pPr>
      <w:r>
        <w:rPr>
          <w:rFonts w:ascii="Consolas" w:hAnsi="Consolas" w:eastAsia="等线"/>
          <w:color w:val="1F4D78"/>
          <w:sz w:val="20"/>
        </w:rPr>
        <w:t>domain</w:t>
      </w:r>
      <w:r>
        <w:t>：金额、数量、订单行、支付状态、本地规则和不变量。</w:t>
      </w:r>
    </w:p>
    <w:p>
      <w:pPr>
        <w:pStyle w:val="ListBullet"/>
        <w:numPr>
          <w:ilvl w:val="0"/>
          <w:numId w:val="10"/>
        </w:numPr>
      </w:pPr>
      <w:r>
        <w:rPr>
          <w:rFonts w:ascii="Consolas" w:hAnsi="Consolas" w:eastAsia="等线"/>
          <w:color w:val="1F4D78"/>
          <w:sz w:val="20"/>
        </w:rPr>
        <w:t>data</w:t>
      </w:r>
      <w:r>
        <w:t>：Repository、SQLite、HTTP、同步和设备实现。</w:t>
      </w:r>
    </w:p>
    <w:p>
      <w:r>
        <w:t>Widget 不得包含 SQL、HTTP、打印指令、金额舍入和库存规则。状态管理对象不得演变为万能业务服务。</w:t>
      </w:r>
    </w:p>
    <w:p>
      <w:pPr>
        <w:pStyle w:val="Heading2"/>
      </w:pPr>
      <w:r>
        <w:t>5.3 Android 运行基线</w:t>
      </w:r>
    </w:p>
    <w:p>
      <w:pPr>
        <w:pStyle w:val="ListBullet"/>
        <w:numPr>
          <w:ilvl w:val="0"/>
          <w:numId w:val="10"/>
        </w:numPr>
      </w:pPr>
      <w:r>
        <w:t>新采购认证硬件应当为 ARM64、Android 11 及以上、4GB RAM、32GB 可用存储或更高配置。</w:t>
      </w:r>
    </w:p>
    <w:p>
      <w:pPr>
        <w:pStyle w:val="ListBullet"/>
        <w:numPr>
          <w:ilvl w:val="0"/>
          <w:numId w:val="10"/>
        </w:numPr>
      </w:pPr>
      <w:r>
        <w:t>Android 9/10 只作为已认证存量硬件的兼容档，不作为新采购默认标准。</w:t>
      </w:r>
    </w:p>
    <w:p>
      <w:pPr>
        <w:pStyle w:val="ListBullet"/>
        <w:numPr>
          <w:ilvl w:val="0"/>
          <w:numId w:val="10"/>
        </w:numPr>
      </w:pPr>
      <w:r>
        <w:t>不假设设备具备 Google 服务。</w:t>
      </w:r>
    </w:p>
    <w:p>
      <w:pPr>
        <w:pStyle w:val="ListBullet"/>
        <w:numPr>
          <w:ilvl w:val="0"/>
          <w:numId w:val="10"/>
        </w:numPr>
      </w:pPr>
      <w:r>
        <w:t>必须验证横屏、竖屏、触摸、物理键、输入法、扫码广播和外接键盘。</w:t>
      </w:r>
    </w:p>
    <w:p>
      <w:pPr>
        <w:pStyle w:val="ListBullet"/>
        <w:numPr>
          <w:ilvl w:val="0"/>
          <w:numId w:val="10"/>
        </w:numPr>
      </w:pPr>
      <w:r>
        <w:t>POS 应支持开机自启、前台保活、Kiosk/锁定任务模式或厂商等价能力。</w:t>
      </w:r>
    </w:p>
    <w:p>
      <w:pPr>
        <w:pStyle w:val="ListBullet"/>
        <w:numPr>
          <w:ilvl w:val="0"/>
          <w:numId w:val="10"/>
        </w:numPr>
      </w:pPr>
      <w:r>
        <w:t>必须适配系统时间异常、存储不足、低电量、休眠唤醒和应用被系统回收。</w:t>
      </w:r>
    </w:p>
    <w:p>
      <w:pPr>
        <w:pStyle w:val="ListBullet"/>
        <w:numPr>
          <w:ilvl w:val="0"/>
          <w:numId w:val="10"/>
        </w:numPr>
      </w:pPr>
      <w:r>
        <w:t>屏幕适配以 8 至 15.6 英寸商用终端为基线，关键收银操作不得依赖细小点击区域。</w:t>
      </w:r>
    </w:p>
    <w:p>
      <w:pPr>
        <w:pStyle w:val="Heading2"/>
      </w:pPr>
      <w:r>
        <w:t>5.4 本地数据与离线</w:t>
      </w:r>
    </w:p>
    <w:p>
      <w:pPr>
        <w:pStyle w:val="Heading3"/>
      </w:pPr>
      <w:r>
        <w:t>本地数据分类</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902"/>
        <w:gridCol w:w="2246"/>
        <w:gridCol w:w="4212"/>
      </w:tblGrid>
      <w:tr>
        <w:trPr>
          <w:cantSplit/>
          <w:tblHeader w:val="true"/>
        </w:trPr>
        <w:tc>
          <w:tcPr>
            <w:tcW w:type="dxa" w:w="2902"/>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数据</w:t>
            </w:r>
          </w:p>
        </w:tc>
        <w:tc>
          <w:tcPr>
            <w:tcW w:type="dxa" w:w="2246"/>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是否本地保存</w:t>
            </w:r>
          </w:p>
        </w:tc>
        <w:tc>
          <w:tcPr>
            <w:tcW w:type="dxa" w:w="4212"/>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说明</w:t>
            </w:r>
          </w:p>
        </w:tc>
      </w:tr>
      <w:tr>
        <w:trPr>
          <w:cantSplit/>
        </w:trPr>
        <w:tc>
          <w:tcPr>
            <w:tcW w:type="dxa" w:w="290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商品、条码、价格、确定性促销</w:t>
            </w:r>
          </w:p>
        </w:tc>
        <w:tc>
          <w:tcPr>
            <w:tcW w:type="dxa" w:w="2246"/>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是</w:t>
            </w:r>
          </w:p>
        </w:tc>
        <w:tc>
          <w:tcPr>
            <w:tcW w:type="dxa" w:w="421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版本化数据包，下发后原子切换</w:t>
            </w:r>
          </w:p>
        </w:tc>
      </w:tr>
      <w:tr>
        <w:trPr>
          <w:cantSplit/>
        </w:trPr>
        <w:tc>
          <w:tcPr>
            <w:tcW w:type="dxa" w:w="290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员工离线授权快照</w:t>
            </w:r>
          </w:p>
        </w:tc>
        <w:tc>
          <w:tcPr>
            <w:tcW w:type="dxa" w:w="2246"/>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是</w:t>
            </w:r>
          </w:p>
        </w:tc>
        <w:tc>
          <w:tcPr>
            <w:tcW w:type="dxa" w:w="421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有有效期和撤销策略</w:t>
            </w:r>
          </w:p>
        </w:tc>
      </w:tr>
      <w:tr>
        <w:trPr>
          <w:cantSplit/>
        </w:trPr>
        <w:tc>
          <w:tcPr>
            <w:tcW w:type="dxa" w:w="290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班次、订单、现金支付、打印任务</w:t>
            </w:r>
          </w:p>
        </w:tc>
        <w:tc>
          <w:tcPr>
            <w:tcW w:type="dxa" w:w="2246"/>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是</w:t>
            </w:r>
          </w:p>
        </w:tc>
        <w:tc>
          <w:tcPr>
            <w:tcW w:type="dxa" w:w="421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使用数据库事务持久化</w:t>
            </w:r>
          </w:p>
        </w:tc>
      </w:tr>
      <w:tr>
        <w:trPr>
          <w:cantSplit/>
        </w:trPr>
        <w:tc>
          <w:tcPr>
            <w:tcW w:type="dxa" w:w="290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电子支付敏感凭证</w:t>
            </w:r>
          </w:p>
        </w:tc>
        <w:tc>
          <w:tcPr>
            <w:tcW w:type="dxa" w:w="2246"/>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最小化</w:t>
            </w:r>
          </w:p>
        </w:tc>
        <w:tc>
          <w:tcPr>
            <w:tcW w:type="dxa" w:w="421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只保存受控引用，不保存支付密钥和敏感卡数据</w:t>
            </w:r>
          </w:p>
        </w:tc>
      </w:tr>
      <w:tr>
        <w:trPr>
          <w:cantSplit/>
        </w:trPr>
        <w:tc>
          <w:tcPr>
            <w:tcW w:type="dxa" w:w="290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会员敏感资料</w:t>
            </w:r>
          </w:p>
        </w:tc>
        <w:tc>
          <w:tcPr>
            <w:tcW w:type="dxa" w:w="2246"/>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最小化</w:t>
            </w:r>
          </w:p>
        </w:tc>
        <w:tc>
          <w:tcPr>
            <w:tcW w:type="dxa" w:w="421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脱敏缓存，按需查询和到期清理</w:t>
            </w:r>
          </w:p>
        </w:tc>
      </w:tr>
      <w:tr>
        <w:trPr>
          <w:cantSplit/>
        </w:trPr>
        <w:tc>
          <w:tcPr>
            <w:tcW w:type="dxa" w:w="290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日志与诊断</w:t>
            </w:r>
          </w:p>
        </w:tc>
        <w:tc>
          <w:tcPr>
            <w:tcW w:type="dxa" w:w="2246"/>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是</w:t>
            </w:r>
          </w:p>
        </w:tc>
        <w:tc>
          <w:tcPr>
            <w:tcW w:type="dxa" w:w="421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限额、脱敏、循环覆盖、授权上传</w:t>
            </w:r>
          </w:p>
        </w:tc>
      </w:tr>
    </w:tbl>
    <w:p>
      <w:pPr>
        <w:spacing w:before="0" w:after="40"/>
      </w:pPr>
    </w:p>
    <w:p>
      <w:pPr>
        <w:pStyle w:val="Heading3"/>
      </w:pPr>
      <w:r>
        <w:t>数据库规则</w:t>
      </w:r>
    </w:p>
    <w:p>
      <w:pPr>
        <w:pStyle w:val="ListBullet"/>
        <w:numPr>
          <w:ilvl w:val="0"/>
          <w:numId w:val="10"/>
        </w:numPr>
      </w:pPr>
      <w:r>
        <w:t>SQLite 使用 WAL 和明确事务边界；关键提交采用经验证的持久化参数。</w:t>
      </w:r>
    </w:p>
    <w:p>
      <w:pPr>
        <w:pStyle w:val="ListBullet"/>
        <w:numPr>
          <w:ilvl w:val="0"/>
          <w:numId w:val="10"/>
        </w:numPr>
      </w:pPr>
      <w:r>
        <w:t>订单、订单行、支付引用、库存影响、打印任务和 Outbox 应在一次本地事务中记录。</w:t>
      </w:r>
    </w:p>
    <w:p>
      <w:pPr>
        <w:pStyle w:val="ListBullet"/>
        <w:numPr>
          <w:ilvl w:val="0"/>
          <w:numId w:val="10"/>
        </w:numPr>
      </w:pPr>
      <w:r>
        <w:t>SharedPreferences/普通 Key-Value 存储不得保存交易事实。</w:t>
      </w:r>
    </w:p>
    <w:p>
      <w:pPr>
        <w:pStyle w:val="ListBullet"/>
        <w:numPr>
          <w:ilvl w:val="0"/>
          <w:numId w:val="10"/>
        </w:numPr>
      </w:pPr>
      <w:r>
        <w:t>每个迁移脚本必须支持从所有仍受支持的历史版本升级。</w:t>
      </w:r>
    </w:p>
    <w:p>
      <w:pPr>
        <w:pStyle w:val="ListBullet"/>
        <w:numPr>
          <w:ilvl w:val="0"/>
          <w:numId w:val="10"/>
        </w:numPr>
      </w:pPr>
      <w:r>
        <w:t>升级前创建受控备份或恢复点，迁移失败不得启动营业界面。</w:t>
      </w:r>
    </w:p>
    <w:p>
      <w:pPr>
        <w:pStyle w:val="ListBullet"/>
        <w:numPr>
          <w:ilvl w:val="0"/>
          <w:numId w:val="10"/>
        </w:numPr>
      </w:pPr>
      <w:r>
        <w:t>数据库损坏必须进入安全恢复流程，不得静默清空重建。</w:t>
      </w:r>
    </w:p>
    <w:p>
      <w:pPr>
        <w:pStyle w:val="Heading3"/>
      </w:pPr>
      <w:r>
        <w:t>离线能力边界</w:t>
      </w:r>
    </w:p>
    <w:p>
      <w:pPr>
        <w:pStyle w:val="ListBullet"/>
        <w:numPr>
          <w:ilvl w:val="0"/>
          <w:numId w:val="10"/>
        </w:numPr>
      </w:pPr>
      <w:r>
        <w:t>离线允许：本地登录（有效授权期内）、开班、扫码、确定性促销、现金销售、挂单、打印和交班暂存。</w:t>
      </w:r>
    </w:p>
    <w:p>
      <w:pPr>
        <w:pStyle w:val="ListBullet"/>
        <w:numPr>
          <w:ilvl w:val="0"/>
          <w:numId w:val="10"/>
        </w:numPr>
      </w:pPr>
      <w:r>
        <w:t>离线默认禁止：普通聚合码支付、银行卡联机支付、储值扣款、券实时核销、会员余额修改和需要云端审批的操作。</w:t>
      </w:r>
    </w:p>
    <w:p>
      <w:pPr>
        <w:pStyle w:val="ListBullet"/>
        <w:numPr>
          <w:ilvl w:val="0"/>
          <w:numId w:val="10"/>
        </w:numPr>
      </w:pPr>
      <w:r>
        <w:t>支付机构明确提供合规离线能力时，必须单独评审和实现，不得默认开启。</w:t>
      </w:r>
    </w:p>
    <w:p>
      <w:pPr>
        <w:pStyle w:val="ListBullet"/>
        <w:numPr>
          <w:ilvl w:val="0"/>
          <w:numId w:val="10"/>
        </w:numPr>
      </w:pPr>
      <w:r>
        <w:t>离线界面必须清晰显示网络状态、受限功能、待同步数量和最后同步时间。</w:t>
      </w:r>
    </w:p>
    <w:p>
      <w:pPr>
        <w:pStyle w:val="Heading2"/>
      </w:pPr>
      <w:r>
        <w:t>5.5 同步引擎</w:t>
      </w:r>
    </w:p>
    <w:p>
      <w:pPr>
        <w:pStyle w:val="ListBullet"/>
        <w:numPr>
          <w:ilvl w:val="0"/>
          <w:numId w:val="10"/>
        </w:numPr>
      </w:pPr>
      <w:r>
        <w:t xml:space="preserve">每个终端拥有不可变 </w:t>
      </w:r>
      <w:r>
        <w:rPr>
          <w:rFonts w:ascii="Consolas" w:hAnsi="Consolas" w:eastAsia="等线"/>
          <w:color w:val="1F4D78"/>
          <w:sz w:val="20"/>
        </w:rPr>
        <w:t>device_id</w:t>
      </w:r>
      <w:r>
        <w:t>、本地事件序列和服务端同步游标。</w:t>
      </w:r>
    </w:p>
    <w:p>
      <w:pPr>
        <w:pStyle w:val="ListBullet"/>
        <w:numPr>
          <w:ilvl w:val="0"/>
          <w:numId w:val="10"/>
        </w:numPr>
      </w:pPr>
      <w:r>
        <w:t>上行按 Outbox 顺序发送；每条记录具有全局 ID、聚合版本和幂等键。</w:t>
      </w:r>
    </w:p>
    <w:p>
      <w:pPr>
        <w:pStyle w:val="ListBullet"/>
        <w:numPr>
          <w:ilvl w:val="0"/>
          <w:numId w:val="10"/>
        </w:numPr>
      </w:pPr>
      <w:r>
        <w:t>服务端返回逐条接收结果，不以 HTTP 200 代表全部业务成功。</w:t>
      </w:r>
    </w:p>
    <w:p>
      <w:pPr>
        <w:pStyle w:val="ListBullet"/>
        <w:numPr>
          <w:ilvl w:val="0"/>
          <w:numId w:val="10"/>
        </w:numPr>
      </w:pPr>
      <w:r>
        <w:t>下行采用版本包或增量游标；数据包校验摘要和签名后原子启用。</w:t>
      </w:r>
    </w:p>
    <w:p>
      <w:pPr>
        <w:pStyle w:val="ListBullet"/>
        <w:numPr>
          <w:ilvl w:val="0"/>
          <w:numId w:val="10"/>
        </w:numPr>
      </w:pPr>
      <w:r>
        <w:t>冲突按对象类型制定规则，禁止通用“最后写入覆盖”。</w:t>
      </w:r>
    </w:p>
    <w:p>
      <w:pPr>
        <w:pStyle w:val="ListBullet"/>
        <w:numPr>
          <w:ilvl w:val="0"/>
          <w:numId w:val="10"/>
        </w:numPr>
      </w:pPr>
      <w:r>
        <w:t>已支付订单、库存流水、积分和储值账本不得由客户端覆盖服务端事实。</w:t>
      </w:r>
    </w:p>
    <w:p>
      <w:pPr>
        <w:pStyle w:val="ListBullet"/>
        <w:numPr>
          <w:ilvl w:val="0"/>
          <w:numId w:val="10"/>
        </w:numPr>
      </w:pPr>
      <w:r>
        <w:t>崩溃重启从未确认 Outbox 继续；重复上传不得重复生成订单、支付或库存流水。</w:t>
      </w:r>
    </w:p>
    <w:p>
      <w:pPr>
        <w:pStyle w:val="Heading2"/>
      </w:pPr>
      <w:r>
        <w:t>5.6 UI 与交互规范</w:t>
      </w:r>
    </w:p>
    <w:p>
      <w:pPr>
        <w:pStyle w:val="ListBullet"/>
        <w:numPr>
          <w:ilvl w:val="0"/>
          <w:numId w:val="10"/>
        </w:numPr>
      </w:pPr>
      <w:r>
        <w:t>Android POS 以横屏、触摸、扫码连续操作为主，PDA 以竖屏、单手扫描为主。</w:t>
      </w:r>
    </w:p>
    <w:p>
      <w:pPr>
        <w:pStyle w:val="ListBullet"/>
        <w:numPr>
          <w:ilvl w:val="0"/>
          <w:numId w:val="10"/>
        </w:numPr>
      </w:pPr>
      <w:r>
        <w:t>扫码到商品进入购物车应当本地完成，不依赖实时云端响应。</w:t>
      </w:r>
    </w:p>
    <w:p>
      <w:pPr>
        <w:pStyle w:val="ListBullet"/>
        <w:numPr>
          <w:ilvl w:val="0"/>
          <w:numId w:val="10"/>
        </w:numPr>
      </w:pPr>
      <w:r>
        <w:t>支付中的页面必须阻止重复提交，但不得阻止状态查询和异常恢复。</w:t>
      </w:r>
    </w:p>
    <w:p>
      <w:pPr>
        <w:pStyle w:val="ListBullet"/>
        <w:numPr>
          <w:ilvl w:val="0"/>
          <w:numId w:val="10"/>
        </w:numPr>
      </w:pPr>
      <w:r>
        <w:t>危险操作显示影响范围、金额和原因，退款、抹零、改价等受权限控制。</w:t>
      </w:r>
    </w:p>
    <w:p>
      <w:pPr>
        <w:pStyle w:val="ListBullet"/>
        <w:numPr>
          <w:ilvl w:val="0"/>
          <w:numId w:val="10"/>
        </w:numPr>
      </w:pPr>
      <w:r>
        <w:t>所有异步操作必须有进行中、成功、失败、未知和可恢复状态。</w:t>
      </w:r>
    </w:p>
    <w:p>
      <w:pPr>
        <w:pStyle w:val="ListBullet"/>
        <w:numPr>
          <w:ilvl w:val="0"/>
          <w:numId w:val="10"/>
        </w:numPr>
      </w:pPr>
      <w:r>
        <w:t>错误提示应告诉收银员下一步动作，不展示堆栈、SQL、HTTP 状态或内部异常。</w:t>
      </w:r>
    </w:p>
    <w:p>
      <w:pPr>
        <w:pStyle w:val="ListBullet"/>
        <w:numPr>
          <w:ilvl w:val="0"/>
          <w:numId w:val="10"/>
        </w:numPr>
      </w:pPr>
      <w:r>
        <w:t>关键操作支持物理键、扫码枪回车和无鼠标流程。</w:t>
      </w:r>
    </w:p>
    <w:p>
      <w:pPr>
        <w:pStyle w:val="Heading1"/>
      </w:pPr>
      <w:r>
        <w:t>六、设备适配与 Edge Agent 规范</w:t>
      </w:r>
    </w:p>
    <w:p>
      <w:pPr>
        <w:pStyle w:val="Heading2"/>
      </w:pPr>
      <w:r>
        <w:t>6.1 统一设备接口</w:t>
      </w:r>
    </w:p>
    <w:p>
      <w:r>
        <w:t>设备能力必须通过稳定接口暴露：</w:t>
      </w:r>
    </w:p>
    <w:p>
      <w:pPr>
        <w:spacing w:before="80" w:after="120" w:line="252" w:lineRule="auto"/>
        <w:ind w:left="115" w:right="115"/>
        <w:shd w:fill="F4F6F9"/>
        <w:pBdr>
          <w:top w:val="single" w:sz="4" w:space="4" w:color="D0D5DD"/>
          <w:left w:val="single" w:sz="4" w:space="4" w:color="D0D5DD"/>
          <w:bottom w:val="single" w:sz="4" w:space="4" w:color="D0D5DD"/>
          <w:right w:val="single" w:sz="4" w:space="4" w:color="D0D5DD"/>
        </w:pBdr>
      </w:pPr>
      <w:r>
        <w:rPr>
          <w:rFonts w:ascii="Consolas" w:hAnsi="Consolas" w:eastAsia="等线"/>
          <w:color w:val="202124"/>
          <w:sz w:val="17"/>
        </w:rPr>
        <w:t>ScannerPort</w:t>
        <w:br/>
        <w:t>ReceiptPrinterPort</w:t>
        <w:br/>
        <w:t>LabelPrinterPort</w:t>
        <w:br/>
        <w:t>ScalePort</w:t>
        <w:br/>
        <w:t>CashDrawerPort</w:t>
        <w:br/>
        <w:t>CustomerDisplayPort</w:t>
        <w:br/>
        <w:t>PaymentTerminalPort</w:t>
        <w:br/>
        <w:t>DeviceHealthPort</w:t>
      </w:r>
    </w:p>
    <w:p>
      <w:r>
        <w:t>每个接口至少定义：能力发现、连接状态、执行命令、超时、错误分类、重试安全性、诊断信息和版本。</w:t>
      </w:r>
    </w:p>
    <w:p>
      <w:pPr>
        <w:pStyle w:val="Heading2"/>
      </w:pPr>
      <w:r>
        <w:t>6.2 Android 适配方式</w:t>
      </w:r>
    </w:p>
    <w:p>
      <w:r>
        <w:t>优先级如下：</w:t>
      </w:r>
    </w:p>
    <w:p>
      <w:pPr>
        <w:pStyle w:val="ListNumber"/>
        <w:numPr>
          <w:ilvl w:val="0"/>
          <w:numId w:val="11"/>
        </w:numPr>
      </w:pPr>
      <w:r>
        <w:t>厂商官方 Flutter 插件且完成代码、许可证和真机审计。</w:t>
      </w:r>
    </w:p>
    <w:p>
      <w:pPr>
        <w:pStyle w:val="ListNumber"/>
        <w:numPr>
          <w:ilvl w:val="0"/>
          <w:numId w:val="11"/>
        </w:numPr>
      </w:pPr>
      <w:r>
        <w:t>自研 Kotlin 原生插件封装厂商 SDK/AIDL 服务。</w:t>
      </w:r>
    </w:p>
    <w:p>
      <w:pPr>
        <w:pStyle w:val="ListNumber"/>
        <w:numPr>
          <w:ilvl w:val="0"/>
          <w:numId w:val="11"/>
        </w:numPr>
      </w:pPr>
      <w:r>
        <w:t>标准蓝牙、USB Host、串口或网络协议适配。</w:t>
      </w:r>
    </w:p>
    <w:p>
      <w:pPr>
        <w:pStyle w:val="ListNumber"/>
        <w:numPr>
          <w:ilvl w:val="0"/>
          <w:numId w:val="11"/>
        </w:numPr>
      </w:pPr>
      <w:r>
        <w:t>无可靠 SDK 或驱动的设备不进入认证白名单。</w:t>
      </w:r>
    </w:p>
    <w:p>
      <w:r>
        <w:t xml:space="preserve">厂商 SDK 只能存在于 </w:t>
      </w:r>
      <w:r>
        <w:rPr>
          <w:rFonts w:ascii="Consolas" w:hAnsi="Consolas" w:eastAsia="等线"/>
          <w:color w:val="1F4D78"/>
          <w:sz w:val="20"/>
        </w:rPr>
        <w:t>android_vendor_*</w:t>
      </w:r>
      <w:r>
        <w:t xml:space="preserve"> 适配模块。上层只依赖统一设备契约。</w:t>
      </w:r>
    </w:p>
    <w:p>
      <w:pPr>
        <w:pStyle w:val="Heading2"/>
      </w:pPr>
      <w:r>
        <w:t>6.3 Windows Edge Agent</w:t>
      </w:r>
    </w:p>
    <w:p>
      <w:r>
        <w:t>Windows Edge Agent 是可选组件，不是 Android POS 的前置条件。以下场景启用：</w:t>
      </w:r>
    </w:p>
    <w:p>
      <w:pPr>
        <w:pStyle w:val="ListBullet"/>
        <w:numPr>
          <w:ilvl w:val="0"/>
          <w:numId w:val="10"/>
        </w:numPr>
      </w:pPr>
      <w:r>
        <w:t>厂商仅提供 Windows COM/.NET/C++ SDK。</w:t>
      </w:r>
    </w:p>
    <w:p>
      <w:pPr>
        <w:pStyle w:val="ListBullet"/>
        <w:numPr>
          <w:ilvl w:val="0"/>
          <w:numId w:val="10"/>
        </w:numPr>
      </w:pPr>
      <w:r>
        <w:t>需要 Windows 打印队列、USB/串口驱动和钱箱联动。</w:t>
      </w:r>
    </w:p>
    <w:p>
      <w:pPr>
        <w:pStyle w:val="ListBullet"/>
        <w:numPr>
          <w:ilvl w:val="0"/>
          <w:numId w:val="10"/>
        </w:numPr>
      </w:pPr>
      <w:r>
        <w:t>需要独立进程隔离打印或支付终端崩溃。</w:t>
      </w:r>
    </w:p>
    <w:p>
      <w:pPr>
        <w:pStyle w:val="ListBullet"/>
        <w:numPr>
          <w:ilvl w:val="0"/>
          <w:numId w:val="10"/>
        </w:numPr>
      </w:pPr>
      <w:r>
        <w:t>需要系统级升级、诊断和设备服务常驻。</w:t>
      </w:r>
    </w:p>
    <w:p>
      <w:r>
        <w:t>Agent 与 Flutter 通过受保护的本地 IPC 通信，只监听本机；协议必须鉴权、版本化、限流并防止任意命令执行。</w:t>
      </w:r>
    </w:p>
    <w:p>
      <w:pPr>
        <w:pStyle w:val="Heading2"/>
      </w:pPr>
      <w:r>
        <w:t>6.4 打印可靠性</w:t>
      </w:r>
    </w:p>
    <w:p>
      <w:pPr>
        <w:pStyle w:val="ListBullet"/>
        <w:numPr>
          <w:ilvl w:val="0"/>
          <w:numId w:val="10"/>
        </w:numPr>
      </w:pPr>
      <w:r>
        <w:t>付款成功与打印成功是两个独立状态，打印失败不得回滚已成功支付。</w:t>
      </w:r>
    </w:p>
    <w:p>
      <w:pPr>
        <w:pStyle w:val="ListBullet"/>
        <w:numPr>
          <w:ilvl w:val="0"/>
          <w:numId w:val="10"/>
        </w:numPr>
      </w:pPr>
      <w:r>
        <w:t>打印任务先持久化再执行，拥有任务 ID、模板版本、重试次数和结果。</w:t>
      </w:r>
    </w:p>
    <w:p>
      <w:pPr>
        <w:pStyle w:val="ListBullet"/>
        <w:numPr>
          <w:ilvl w:val="0"/>
          <w:numId w:val="10"/>
        </w:numPr>
      </w:pPr>
      <w:r>
        <w:t>补打必须标记“补打”并记录操作人、时间和原因。</w:t>
      </w:r>
    </w:p>
    <w:p>
      <w:pPr>
        <w:pStyle w:val="ListBullet"/>
        <w:numPr>
          <w:ilvl w:val="0"/>
          <w:numId w:val="10"/>
        </w:numPr>
      </w:pPr>
      <w:r>
        <w:t>钱箱开启命令与允许的支付方式和权限绑定。</w:t>
      </w:r>
    </w:p>
    <w:p>
      <w:pPr>
        <w:pStyle w:val="ListBullet"/>
        <w:numPr>
          <w:ilvl w:val="0"/>
          <w:numId w:val="10"/>
        </w:numPr>
      </w:pPr>
      <w:r>
        <w:t>模板变更必须保留版本，历史订单按原始快照可重建。</w:t>
      </w:r>
    </w:p>
    <w:p>
      <w:pPr>
        <w:pStyle w:val="Heading2"/>
      </w:pPr>
      <w:r>
        <w:t>6.5 硬件认证</w:t>
      </w:r>
    </w:p>
    <w:p>
      <w:r>
        <w:t>每个认证组合至少测试：</w:t>
      </w:r>
    </w:p>
    <w:p>
      <w:pPr>
        <w:pStyle w:val="ListBullet"/>
        <w:numPr>
          <w:ilvl w:val="0"/>
          <w:numId w:val="10"/>
        </w:numPr>
      </w:pPr>
      <w:r>
        <w:t>连续扫码、重复条码、称重稳定性和异常重量。</w:t>
      </w:r>
    </w:p>
    <w:p>
      <w:pPr>
        <w:pStyle w:val="ListBullet"/>
        <w:numPr>
          <w:ilvl w:val="0"/>
          <w:numId w:val="10"/>
        </w:numPr>
      </w:pPr>
      <w:r>
        <w:t>缺纸、开盖、卡纸、断电、拔插、蓝牙断开和网络打印超时。</w:t>
      </w:r>
    </w:p>
    <w:p>
      <w:pPr>
        <w:pStyle w:val="ListBullet"/>
        <w:numPr>
          <w:ilvl w:val="0"/>
          <w:numId w:val="10"/>
        </w:numPr>
      </w:pPr>
      <w:r>
        <w:t>钱箱、客显、双屏、外接键盘和输入法。</w:t>
      </w:r>
    </w:p>
    <w:p>
      <w:pPr>
        <w:pStyle w:val="ListBullet"/>
        <w:numPr>
          <w:ilvl w:val="0"/>
          <w:numId w:val="10"/>
        </w:numPr>
      </w:pPr>
      <w:r>
        <w:t>72 小时长稳、应用崩溃恢复、系统重启和低存储。</w:t>
      </w:r>
    </w:p>
    <w:p>
      <w:pPr>
        <w:pStyle w:val="ListBullet"/>
        <w:numPr>
          <w:ilvl w:val="0"/>
          <w:numId w:val="10"/>
        </w:numPr>
      </w:pPr>
      <w:r>
        <w:t>APK 灰度升级、失败回滚、数据库迁移和配置回退。</w:t>
      </w:r>
    </w:p>
    <w:p>
      <w:r>
        <w:t>未经认证的硬件可以进入实验室验证，不得在合同中承诺正式支持。</w:t>
      </w:r>
    </w:p>
    <w:p>
      <w:pPr>
        <w:pStyle w:val="Heading1"/>
      </w:pPr>
      <w:r>
        <w:t>七、多租户与身份安全规范</w:t>
      </w:r>
    </w:p>
    <w:p>
      <w:pPr>
        <w:pStyle w:val="Heading2"/>
      </w:pPr>
      <w:r>
        <w:t>7.1 租户模型</w:t>
      </w:r>
    </w:p>
    <w:p>
      <w:r>
        <w:t>租户、集团、品牌、区域、加盟商、组织、门店、仓库、终端必须分开建模。</w:t>
      </w:r>
      <w:r>
        <w:rPr>
          <w:rFonts w:ascii="Consolas" w:hAnsi="Consolas" w:eastAsia="等线"/>
          <w:color w:val="1F4D78"/>
          <w:sz w:val="20"/>
        </w:rPr>
        <w:t>tenant_id</w:t>
      </w:r>
      <w:r>
        <w:t xml:space="preserve"> 是 SaaS 隔离边界，门店和组织是租户内部的数据范围，二者不得混用。</w:t>
      </w:r>
    </w:p>
    <w:p>
      <w:pPr>
        <w:pStyle w:val="Heading2"/>
      </w:pPr>
      <w:r>
        <w:t>7.2 强制隔离措施</w:t>
      </w:r>
    </w:p>
    <w:p>
      <w:pPr>
        <w:pStyle w:val="ListBullet"/>
        <w:numPr>
          <w:ilvl w:val="0"/>
          <w:numId w:val="10"/>
        </w:numPr>
      </w:pPr>
      <w:r>
        <w:t xml:space="preserve">所有租户业务表必须包含 </w:t>
      </w:r>
      <w:r>
        <w:rPr>
          <w:rFonts w:ascii="Consolas" w:hAnsi="Consolas" w:eastAsia="等线"/>
          <w:color w:val="1F4D78"/>
          <w:sz w:val="20"/>
        </w:rPr>
        <w:t>tenant_id</w:t>
      </w:r>
      <w:r>
        <w:t>，并进入唯一键和常用索引。</w:t>
      </w:r>
    </w:p>
    <w:p>
      <w:pPr>
        <w:pStyle w:val="ListBullet"/>
        <w:numPr>
          <w:ilvl w:val="0"/>
          <w:numId w:val="10"/>
        </w:numPr>
      </w:pPr>
      <w:r>
        <w:t>MyBatis 租户拦截器是防御层，不是唯一隔离手段。</w:t>
      </w:r>
    </w:p>
    <w:p>
      <w:pPr>
        <w:pStyle w:val="ListBullet"/>
        <w:numPr>
          <w:ilvl w:val="0"/>
          <w:numId w:val="10"/>
        </w:numPr>
      </w:pPr>
      <w:r>
        <w:t>Token 中的租户、用户、终端和门店绑定必须由服务端签发和验证。</w:t>
      </w:r>
    </w:p>
    <w:p>
      <w:pPr>
        <w:pStyle w:val="ListBullet"/>
        <w:numPr>
          <w:ilvl w:val="0"/>
          <w:numId w:val="10"/>
        </w:numPr>
      </w:pPr>
      <w:r>
        <w:t xml:space="preserve">不得直接相信客户端提交的 </w:t>
      </w:r>
      <w:r>
        <w:rPr>
          <w:rFonts w:ascii="Consolas" w:hAnsi="Consolas" w:eastAsia="等线"/>
          <w:color w:val="1F4D78"/>
          <w:sz w:val="20"/>
        </w:rPr>
        <w:t>tenant_id</w:t>
      </w:r>
      <w:r>
        <w:t xml:space="preserve"> 或 </w:t>
      </w:r>
      <w:r>
        <w:rPr>
          <w:rFonts w:ascii="Consolas" w:hAnsi="Consolas" w:eastAsia="等线"/>
          <w:color w:val="1F4D78"/>
          <w:sz w:val="20"/>
        </w:rPr>
        <w:t>X-Tenant-Id</w:t>
      </w:r>
      <w:r>
        <w:t>。</w:t>
      </w:r>
    </w:p>
    <w:p>
      <w:pPr>
        <w:pStyle w:val="ListBullet"/>
        <w:numPr>
          <w:ilvl w:val="0"/>
          <w:numId w:val="10"/>
        </w:numPr>
      </w:pPr>
      <w:r>
        <w:t>Redis Key、对象路径、Outbox、定时任务、批处理和日志上下文必须携带租户。</w:t>
      </w:r>
    </w:p>
    <w:p>
      <w:pPr>
        <w:pStyle w:val="ListBullet"/>
        <w:numPr>
          <w:ilvl w:val="0"/>
          <w:numId w:val="10"/>
        </w:numPr>
      </w:pPr>
      <w:r>
        <w:t>后台异步任务必须显式枚举授权租户，不得使用缺省租户上下文。</w:t>
      </w:r>
    </w:p>
    <w:p>
      <w:pPr>
        <w:pStyle w:val="ListBullet"/>
        <w:numPr>
          <w:ilvl w:val="0"/>
          <w:numId w:val="10"/>
        </w:numPr>
      </w:pPr>
      <w:r>
        <w:t>跨租户运营功能使用独立平台身份、强审计和最小权限。</w:t>
      </w:r>
    </w:p>
    <w:p>
      <w:pPr>
        <w:pStyle w:val="ListBullet"/>
        <w:numPr>
          <w:ilvl w:val="0"/>
          <w:numId w:val="10"/>
        </w:numPr>
      </w:pPr>
      <w:r>
        <w:t>CI 必须覆盖 Mapper XML、原生 SQL、批量导出、后台任务和缓存的租户逃逸测试。</w:t>
      </w:r>
    </w:p>
    <w:p>
      <w:pPr>
        <w:pStyle w:val="Heading2"/>
      </w:pPr>
      <w:r>
        <w:t>7.3 身份类型</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090"/>
        <w:gridCol w:w="3364"/>
        <w:gridCol w:w="3906"/>
      </w:tblGrid>
      <w:tr>
        <w:trPr>
          <w:cantSplit/>
          <w:tblHeader w:val="true"/>
        </w:trPr>
        <w:tc>
          <w:tcPr>
            <w:tcW w:type="dxa" w:w="2090"/>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身份</w:t>
            </w:r>
          </w:p>
        </w:tc>
        <w:tc>
          <w:tcPr>
            <w:tcW w:type="dxa" w:w="3364"/>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认证方式</w:t>
            </w:r>
          </w:p>
        </w:tc>
        <w:tc>
          <w:tcPr>
            <w:tcW w:type="dxa" w:w="3906"/>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说明</w:t>
            </w:r>
          </w:p>
        </w:tc>
      </w:tr>
      <w:tr>
        <w:trPr>
          <w:cantSplit/>
        </w:trPr>
        <w:tc>
          <w:tcPr>
            <w:tcW w:type="dxa" w:w="209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管理后台用户</w:t>
            </w:r>
          </w:p>
        </w:tc>
        <w:tc>
          <w:tcPr>
            <w:tcW w:type="dxa" w:w="336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Sa-Token/统一认证 + MFA策略</w:t>
            </w:r>
          </w:p>
        </w:tc>
        <w:tc>
          <w:tcPr>
            <w:tcW w:type="dxa" w:w="3906"/>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高权限用户必须加强认证</w:t>
            </w:r>
          </w:p>
        </w:tc>
      </w:tr>
      <w:tr>
        <w:trPr>
          <w:cantSplit/>
        </w:trPr>
        <w:tc>
          <w:tcPr>
            <w:tcW w:type="dxa" w:w="209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POS设备</w:t>
            </w:r>
          </w:p>
        </w:tc>
        <w:tc>
          <w:tcPr>
            <w:tcW w:type="dxa" w:w="336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设备激活凭证 + 设备私钥/证书</w:t>
            </w:r>
          </w:p>
        </w:tc>
        <w:tc>
          <w:tcPr>
            <w:tcW w:type="dxa" w:w="3906"/>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与租户、门店、终端记录绑定</w:t>
            </w:r>
          </w:p>
        </w:tc>
      </w:tr>
      <w:tr>
        <w:trPr>
          <w:cantSplit/>
        </w:trPr>
        <w:tc>
          <w:tcPr>
            <w:tcW w:type="dxa" w:w="209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收银员工</w:t>
            </w:r>
          </w:p>
        </w:tc>
        <w:tc>
          <w:tcPr>
            <w:tcW w:type="dxa" w:w="336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在线令牌；离线使用有效期授权快照和PIN</w:t>
            </w:r>
          </w:p>
        </w:tc>
        <w:tc>
          <w:tcPr>
            <w:tcW w:type="dxa" w:w="3906"/>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离线权限必须可过期和撤销</w:t>
            </w:r>
          </w:p>
        </w:tc>
      </w:tr>
      <w:tr>
        <w:trPr>
          <w:cantSplit/>
        </w:trPr>
        <w:tc>
          <w:tcPr>
            <w:tcW w:type="dxa" w:w="209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开放平台应用</w:t>
            </w:r>
          </w:p>
        </w:tc>
        <w:tc>
          <w:tcPr>
            <w:tcW w:type="dxa" w:w="3364"/>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Client Credential、签名、IP/权限范围</w:t>
            </w:r>
          </w:p>
        </w:tc>
        <w:tc>
          <w:tcPr>
            <w:tcW w:type="dxa" w:w="3906"/>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与普通用户身份隔离</w:t>
            </w:r>
          </w:p>
        </w:tc>
      </w:tr>
      <w:tr>
        <w:trPr>
          <w:cantSplit/>
        </w:trPr>
        <w:tc>
          <w:tcPr>
            <w:tcW w:type="dxa" w:w="209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连接器</w:t>
            </w:r>
          </w:p>
        </w:tc>
        <w:tc>
          <w:tcPr>
            <w:tcW w:type="dxa" w:w="3364"/>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独立密钥和授权记录</w:t>
            </w:r>
          </w:p>
        </w:tc>
        <w:tc>
          <w:tcPr>
            <w:tcW w:type="dxa" w:w="3906"/>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每租户、每环境隔离</w:t>
            </w:r>
          </w:p>
        </w:tc>
      </w:tr>
    </w:tbl>
    <w:p>
      <w:pPr>
        <w:spacing w:before="0" w:after="40"/>
      </w:pPr>
    </w:p>
    <w:p>
      <w:pPr>
        <w:pStyle w:val="Heading2"/>
      </w:pPr>
      <w:r>
        <w:t>7.4 敏感数据</w:t>
      </w:r>
    </w:p>
    <w:p>
      <w:pPr>
        <w:pStyle w:val="ListBullet"/>
        <w:numPr>
          <w:ilvl w:val="0"/>
          <w:numId w:val="10"/>
        </w:numPr>
      </w:pPr>
      <w:r>
        <w:t>密码使用强单向哈希，不可逆加密。</w:t>
      </w:r>
    </w:p>
    <w:p>
      <w:pPr>
        <w:pStyle w:val="ListBullet"/>
        <w:numPr>
          <w:ilvl w:val="0"/>
          <w:numId w:val="10"/>
        </w:numPr>
      </w:pPr>
      <w:r>
        <w:t>手机、证件、地址、密钥、支付引用和原始报文按字段分类分级。</w:t>
      </w:r>
    </w:p>
    <w:p>
      <w:pPr>
        <w:pStyle w:val="ListBullet"/>
        <w:numPr>
          <w:ilvl w:val="0"/>
          <w:numId w:val="10"/>
        </w:numPr>
      </w:pPr>
      <w:r>
        <w:t>日志默认脱敏，不记录密码、完整令牌、支付密钥和完整身份证号。</w:t>
      </w:r>
    </w:p>
    <w:p>
      <w:pPr>
        <w:pStyle w:val="ListBullet"/>
        <w:numPr>
          <w:ilvl w:val="0"/>
          <w:numId w:val="10"/>
        </w:numPr>
      </w:pPr>
      <w:r>
        <w:t>设备私钥存入 Android Keystore 或 Windows 安全存储。</w:t>
      </w:r>
    </w:p>
    <w:p>
      <w:pPr>
        <w:pStyle w:val="ListBullet"/>
        <w:numPr>
          <w:ilvl w:val="0"/>
          <w:numId w:val="10"/>
        </w:numPr>
      </w:pPr>
      <w:r>
        <w:t>本地敏感数据库根据威胁模型使用 SQLCipher 或字段加密。</w:t>
      </w:r>
    </w:p>
    <w:p>
      <w:pPr>
        <w:pStyle w:val="ListBullet"/>
        <w:numPr>
          <w:ilvl w:val="0"/>
          <w:numId w:val="10"/>
        </w:numPr>
      </w:pPr>
      <w:r>
        <w:t>数据导出需权限、原因、水印、审计和有效期控制。</w:t>
      </w:r>
    </w:p>
    <w:p>
      <w:pPr>
        <w:pStyle w:val="Heading1"/>
      </w:pPr>
      <w:r>
        <w:t>八、数据库与领域数据规范</w:t>
      </w:r>
    </w:p>
    <w:p>
      <w:pPr>
        <w:pStyle w:val="Heading2"/>
      </w:pPr>
      <w:r>
        <w:t>8.1 标识与时间</w:t>
      </w:r>
    </w:p>
    <w:p>
      <w:pPr>
        <w:pStyle w:val="ListBullet"/>
        <w:numPr>
          <w:ilvl w:val="0"/>
          <w:numId w:val="10"/>
        </w:numPr>
      </w:pPr>
      <w:r>
        <w:t>RuoYi平台记录主键（</w:t>
      </w:r>
      <w:r>
        <w:rPr>
          <w:rFonts w:ascii="Consolas" w:hAnsi="Consolas" w:eastAsia="等线"/>
          <w:color w:val="1F4D78"/>
          <w:sz w:val="20"/>
        </w:rPr>
        <w:t>sys_tenant.id</w:t>
      </w:r>
      <w:r>
        <w:t xml:space="preserve">、用户、部门、角色等）沿用框架的 </w:t>
      </w:r>
      <w:r>
        <w:rPr>
          <w:rFonts w:ascii="Consolas" w:hAnsi="Consolas" w:eastAsia="等线"/>
          <w:color w:val="1F4D78"/>
          <w:sz w:val="20"/>
        </w:rPr>
        <w:t>BIGINT</w:t>
      </w:r>
      <w:r>
        <w:t>；业务隔离字段</w:t>
      </w:r>
      <w:r>
        <w:rPr>
          <w:rFonts w:ascii="Consolas" w:hAnsi="Consolas" w:eastAsia="等线"/>
          <w:color w:val="1F4D78"/>
          <w:sz w:val="20"/>
        </w:rPr>
        <w:t>tenant_id</w:t>
      </w:r>
      <w:r>
        <w:t>沿用框架的</w:t>
      </w:r>
      <w:r>
        <w:rPr>
          <w:rFonts w:ascii="Consolas" w:hAnsi="Consolas" w:eastAsia="等线"/>
          <w:color w:val="1F4D78"/>
          <w:sz w:val="20"/>
        </w:rPr>
        <w:t>VARCHAR(20)</w:t>
      </w:r>
      <w:r>
        <w:t>租户编号，避免侵入式修改平台底座。</w:t>
      </w:r>
    </w:p>
    <w:p>
      <w:pPr>
        <w:pStyle w:val="ListBullet"/>
        <w:numPr>
          <w:ilvl w:val="0"/>
          <w:numId w:val="10"/>
        </w:numPr>
      </w:pPr>
      <w:r>
        <w:t>离线可创建的业务实体统一使用 ULID 作为全局主标识；不得依赖联网后才生成 ID。</w:t>
      </w:r>
    </w:p>
    <w:p>
      <w:pPr>
        <w:pStyle w:val="ListBullet"/>
        <w:numPr>
          <w:ilvl w:val="0"/>
          <w:numId w:val="10"/>
        </w:numPr>
      </w:pPr>
      <w:r>
        <w:t>可读订单号、支付流水号和单据号是业务编号，不作为数据库主键。</w:t>
      </w:r>
    </w:p>
    <w:p>
      <w:pPr>
        <w:pStyle w:val="ListBullet"/>
        <w:numPr>
          <w:ilvl w:val="0"/>
          <w:numId w:val="10"/>
        </w:numPr>
      </w:pPr>
      <w:r>
        <w:t xml:space="preserve">时间存储使用 UTC </w:t>
      </w:r>
      <w:r>
        <w:rPr>
          <w:rFonts w:ascii="Consolas" w:hAnsi="Consolas" w:eastAsia="等线"/>
          <w:color w:val="1F4D78"/>
          <w:sz w:val="20"/>
        </w:rPr>
        <w:t>datetime(3)</w:t>
      </w:r>
      <w:r>
        <w:t>，接口使用 ISO 8601 带时区格式。</w:t>
      </w:r>
    </w:p>
    <w:p>
      <w:pPr>
        <w:pStyle w:val="ListBullet"/>
        <w:numPr>
          <w:ilvl w:val="0"/>
          <w:numId w:val="10"/>
        </w:numPr>
      </w:pPr>
      <w:r>
        <w:t>业务日期、班次日期和自然时间分开保存，日结不得仅按服务器零点判断。</w:t>
      </w:r>
    </w:p>
    <w:p>
      <w:pPr>
        <w:pStyle w:val="Heading2"/>
      </w:pPr>
      <w:r>
        <w:t>8.2 金额与数量</w:t>
      </w:r>
    </w:p>
    <w:p>
      <w:pPr>
        <w:pStyle w:val="ListBullet"/>
        <w:numPr>
          <w:ilvl w:val="0"/>
          <w:numId w:val="10"/>
        </w:numPr>
      </w:pPr>
      <w:r>
        <w:t>订单应收、实收、退款、优惠等结算金额使用最小货币单位整数，并保存币种。</w:t>
      </w:r>
    </w:p>
    <w:p>
      <w:pPr>
        <w:pStyle w:val="ListBullet"/>
        <w:numPr>
          <w:ilvl w:val="0"/>
          <w:numId w:val="10"/>
        </w:numPr>
      </w:pPr>
      <w:r>
        <w:t xml:space="preserve">单价、成本、税率和中间计算使用 </w:t>
      </w:r>
      <w:r>
        <w:rPr>
          <w:rFonts w:ascii="Consolas" w:hAnsi="Consolas" w:eastAsia="等线"/>
          <w:color w:val="1F4D78"/>
          <w:sz w:val="20"/>
        </w:rPr>
        <w:t>DECIMAL</w:t>
      </w:r>
      <w:r>
        <w:t xml:space="preserve">/Java </w:t>
      </w:r>
      <w:r>
        <w:rPr>
          <w:rFonts w:ascii="Consolas" w:hAnsi="Consolas" w:eastAsia="等线"/>
          <w:color w:val="1F4D78"/>
          <w:sz w:val="20"/>
        </w:rPr>
        <w:t>BigDecimal</w:t>
      </w:r>
      <w:r>
        <w:t xml:space="preserve">，禁止 </w:t>
      </w:r>
      <w:r>
        <w:rPr>
          <w:rFonts w:ascii="Consolas" w:hAnsi="Consolas" w:eastAsia="等线"/>
          <w:color w:val="1F4D78"/>
          <w:sz w:val="20"/>
        </w:rPr>
        <w:t>float/double</w:t>
      </w:r>
      <w:r>
        <w:t>。</w:t>
      </w:r>
    </w:p>
    <w:p>
      <w:pPr>
        <w:pStyle w:val="ListBullet"/>
        <w:numPr>
          <w:ilvl w:val="0"/>
          <w:numId w:val="10"/>
        </w:numPr>
      </w:pPr>
      <w:r>
        <w:t xml:space="preserve">数量使用 </w:t>
      </w:r>
      <w:r>
        <w:rPr>
          <w:rFonts w:ascii="Consolas" w:hAnsi="Consolas" w:eastAsia="等线"/>
          <w:color w:val="1F4D78"/>
          <w:sz w:val="20"/>
        </w:rPr>
        <w:t>DECIMAL(19,6)</w:t>
      </w:r>
      <w:r>
        <w:t xml:space="preserve"> 或经领域确认的统一精度。</w:t>
      </w:r>
    </w:p>
    <w:p>
      <w:pPr>
        <w:pStyle w:val="ListBullet"/>
        <w:numPr>
          <w:ilvl w:val="0"/>
          <w:numId w:val="10"/>
        </w:numPr>
      </w:pPr>
      <w:r>
        <w:t>优惠分摊必须保证分摊合计等于原优惠，尾差规则固定并可重放。</w:t>
      </w:r>
    </w:p>
    <w:p>
      <w:pPr>
        <w:pStyle w:val="ListBullet"/>
        <w:numPr>
          <w:ilvl w:val="0"/>
          <w:numId w:val="10"/>
        </w:numPr>
      </w:pPr>
      <w:r>
        <w:t>订单必须满足：商品原价合计 - 优惠合计 + 附加金额 = 应收金额；支付净额与订单结算状态一致。</w:t>
      </w:r>
    </w:p>
    <w:p>
      <w:pPr>
        <w:pStyle w:val="Heading2"/>
      </w:pPr>
      <w:r>
        <w:t>8.3 表设计</w:t>
      </w:r>
    </w:p>
    <w:p>
      <w:pPr>
        <w:pStyle w:val="ListBullet"/>
        <w:numPr>
          <w:ilvl w:val="0"/>
          <w:numId w:val="10"/>
        </w:numPr>
      </w:pPr>
      <w:r>
        <w:t xml:space="preserve">表名前缀体现领域，例如 </w:t>
      </w:r>
      <w:r>
        <w:rPr>
          <w:rFonts w:ascii="Consolas" w:hAnsi="Consolas" w:eastAsia="等线"/>
          <w:color w:val="1F4D78"/>
          <w:sz w:val="20"/>
        </w:rPr>
        <w:t>ord_</w:t>
      </w:r>
      <w:r>
        <w:t>、</w:t>
      </w:r>
      <w:r>
        <w:rPr>
          <w:rFonts w:ascii="Consolas" w:hAnsi="Consolas" w:eastAsia="等线"/>
          <w:color w:val="1F4D78"/>
          <w:sz w:val="20"/>
        </w:rPr>
        <w:t>pay_</w:t>
      </w:r>
      <w:r>
        <w:t>、</w:t>
      </w:r>
      <w:r>
        <w:rPr>
          <w:rFonts w:ascii="Consolas" w:hAnsi="Consolas" w:eastAsia="等线"/>
          <w:color w:val="1F4D78"/>
          <w:sz w:val="20"/>
        </w:rPr>
        <w:t>inv_</w:t>
      </w:r>
      <w:r>
        <w:t>、</w:t>
      </w:r>
      <w:r>
        <w:rPr>
          <w:rFonts w:ascii="Consolas" w:hAnsi="Consolas" w:eastAsia="等线"/>
          <w:color w:val="1F4D78"/>
          <w:sz w:val="20"/>
        </w:rPr>
        <w:t>prd_</w:t>
      </w:r>
      <w:r>
        <w:t>、</w:t>
      </w:r>
      <w:r>
        <w:rPr>
          <w:rFonts w:ascii="Consolas" w:hAnsi="Consolas" w:eastAsia="等线"/>
          <w:color w:val="1F4D78"/>
          <w:sz w:val="20"/>
        </w:rPr>
        <w:t>mbr_</w:t>
      </w:r>
      <w:r>
        <w:t>。</w:t>
      </w:r>
    </w:p>
    <w:p>
      <w:pPr>
        <w:pStyle w:val="ListBullet"/>
        <w:numPr>
          <w:ilvl w:val="0"/>
          <w:numId w:val="10"/>
        </w:numPr>
      </w:pPr>
      <w:r>
        <w:t xml:space="preserve">核心表至少包含 </w:t>
      </w:r>
      <w:r>
        <w:rPr>
          <w:rFonts w:ascii="Consolas" w:hAnsi="Consolas" w:eastAsia="等线"/>
          <w:color w:val="1F4D78"/>
          <w:sz w:val="20"/>
        </w:rPr>
        <w:t>id</w:t>
      </w:r>
      <w:r>
        <w:t>、</w:t>
      </w:r>
      <w:r>
        <w:rPr>
          <w:rFonts w:ascii="Consolas" w:hAnsi="Consolas" w:eastAsia="等线"/>
          <w:color w:val="1F4D78"/>
          <w:sz w:val="20"/>
        </w:rPr>
        <w:t>tenant_id</w:t>
      </w:r>
      <w:r>
        <w:t>、</w:t>
      </w:r>
      <w:r>
        <w:rPr>
          <w:rFonts w:ascii="Consolas" w:hAnsi="Consolas" w:eastAsia="等线"/>
          <w:color w:val="1F4D78"/>
          <w:sz w:val="20"/>
        </w:rPr>
        <w:t>created_at</w:t>
      </w:r>
      <w:r>
        <w:t>、</w:t>
      </w:r>
      <w:r>
        <w:rPr>
          <w:rFonts w:ascii="Consolas" w:hAnsi="Consolas" w:eastAsia="等线"/>
          <w:color w:val="1F4D78"/>
          <w:sz w:val="20"/>
        </w:rPr>
        <w:t>updated_at</w:t>
      </w:r>
      <w:r>
        <w:t>、</w:t>
      </w:r>
      <w:r>
        <w:rPr>
          <w:rFonts w:ascii="Consolas" w:hAnsi="Consolas" w:eastAsia="等线"/>
          <w:color w:val="1F4D78"/>
          <w:sz w:val="20"/>
        </w:rPr>
        <w:t>version</w:t>
      </w:r>
      <w:r>
        <w:t>。</w:t>
      </w:r>
    </w:p>
    <w:p>
      <w:pPr>
        <w:pStyle w:val="ListBullet"/>
        <w:numPr>
          <w:ilvl w:val="0"/>
          <w:numId w:val="10"/>
        </w:numPr>
      </w:pPr>
      <w:r>
        <w:t>乐观锁字段用于并发控制，不能把乐观锁失败自动覆盖为成功。</w:t>
      </w:r>
    </w:p>
    <w:p>
      <w:pPr>
        <w:pStyle w:val="ListBullet"/>
        <w:numPr>
          <w:ilvl w:val="0"/>
          <w:numId w:val="10"/>
        </w:numPr>
      </w:pPr>
      <w:r>
        <w:t>订单、支付、退款、库存、积分、储值等账本禁止物理删除和随意修改。</w:t>
      </w:r>
    </w:p>
    <w:p>
      <w:pPr>
        <w:pStyle w:val="ListBullet"/>
        <w:numPr>
          <w:ilvl w:val="0"/>
          <w:numId w:val="10"/>
        </w:numPr>
      </w:pPr>
      <w:r>
        <w:t>软删除仅用于适合删除的主数据；交易数据使用撤销、冲正、关闭等业务动作。</w:t>
      </w:r>
    </w:p>
    <w:p>
      <w:pPr>
        <w:pStyle w:val="ListBullet"/>
        <w:numPr>
          <w:ilvl w:val="0"/>
          <w:numId w:val="10"/>
        </w:numPr>
      </w:pPr>
      <w:r>
        <w:t>JSON 字段只用于低频扩展和原始快照，不替代明确的核心字段和索引。</w:t>
      </w:r>
    </w:p>
    <w:p>
      <w:pPr>
        <w:pStyle w:val="ListBullet"/>
        <w:numPr>
          <w:ilvl w:val="0"/>
          <w:numId w:val="10"/>
        </w:numPr>
      </w:pPr>
      <w:r>
        <w:t>所有外键关系即使不建立物理外键，也必须在模型、索引和测试中保证引用完整性。</w:t>
      </w:r>
    </w:p>
    <w:p>
      <w:pPr>
        <w:pStyle w:val="Heading2"/>
      </w:pPr>
      <w:r>
        <w:t>8.4 数据库迁移</w:t>
      </w:r>
    </w:p>
    <w:p>
      <w:pPr>
        <w:pStyle w:val="ListBullet"/>
        <w:numPr>
          <w:ilvl w:val="0"/>
          <w:numId w:val="10"/>
        </w:numPr>
      </w:pPr>
      <w:r>
        <w:t>Flyway 脚本一经进入共享环境不得修改内容，只能新增修复脚本。</w:t>
      </w:r>
    </w:p>
    <w:p>
      <w:pPr>
        <w:pStyle w:val="ListBullet"/>
        <w:numPr>
          <w:ilvl w:val="0"/>
          <w:numId w:val="10"/>
        </w:numPr>
      </w:pPr>
      <w:r>
        <w:t>采用 Expand-Migrate-Contract：先新增兼容结构，再迁移数据，最后在后续版本删除旧结构。</w:t>
      </w:r>
    </w:p>
    <w:p>
      <w:pPr>
        <w:pStyle w:val="ListBullet"/>
        <w:numPr>
          <w:ilvl w:val="0"/>
          <w:numId w:val="10"/>
        </w:numPr>
      </w:pPr>
      <w:r>
        <w:t>同一发布中禁止直接重命名或删除仍被旧 POS 版本访问的字段。</w:t>
      </w:r>
    </w:p>
    <w:p>
      <w:pPr>
        <w:pStyle w:val="ListBullet"/>
        <w:numPr>
          <w:ilvl w:val="0"/>
          <w:numId w:val="10"/>
        </w:numPr>
      </w:pPr>
      <w:r>
        <w:t>大表迁移必须评估锁表、复制延迟、执行时长和中断恢复。</w:t>
      </w:r>
    </w:p>
    <w:p>
      <w:pPr>
        <w:pStyle w:val="ListBullet"/>
        <w:numPr>
          <w:ilvl w:val="0"/>
          <w:numId w:val="10"/>
        </w:numPr>
      </w:pPr>
      <w:r>
        <w:t>每次迁移必须在生产数据规模副本或等量模拟数据上验证。</w:t>
      </w:r>
    </w:p>
    <w:p>
      <w:pPr>
        <w:pStyle w:val="Heading1"/>
      </w:pPr>
      <w:r>
        <w:t>九、API、事件与连接器规范</w:t>
      </w:r>
    </w:p>
    <w:p>
      <w:pPr>
        <w:pStyle w:val="Heading2"/>
      </w:pPr>
      <w:r>
        <w:t>9.1 API 分区</w:t>
      </w:r>
    </w:p>
    <w:p>
      <w:pPr>
        <w:spacing w:before="80" w:after="120" w:line="252" w:lineRule="auto"/>
        <w:ind w:left="115" w:right="115"/>
        <w:shd w:fill="F4F6F9"/>
        <w:pBdr>
          <w:top w:val="single" w:sz="4" w:space="4" w:color="D0D5DD"/>
          <w:left w:val="single" w:sz="4" w:space="4" w:color="D0D5DD"/>
          <w:bottom w:val="single" w:sz="4" w:space="4" w:color="D0D5DD"/>
          <w:right w:val="single" w:sz="4" w:space="4" w:color="D0D5DD"/>
        </w:pBdr>
      </w:pPr>
      <w:r>
        <w:rPr>
          <w:rFonts w:ascii="Consolas" w:hAnsi="Consolas" w:eastAsia="等线"/>
          <w:color w:val="202124"/>
          <w:sz w:val="17"/>
        </w:rPr>
        <w:t>/api/admin/v1/*       Web管理后台</w:t>
        <w:br/>
        <w:t>/api/pos/v1/*         POS与PDA终端</w:t>
        <w:br/>
        <w:t>/openapi/v1/*         外部开放平台</w:t>
        <w:br/>
        <w:t>/webhooks/v1/*        外部回调入口</w:t>
        <w:br/>
        <w:t>/internal/v1/*        受控内部接口，不对公网开放</w:t>
      </w:r>
    </w:p>
    <w:p>
      <w:pPr>
        <w:pStyle w:val="Heading2"/>
      </w:pPr>
      <w:r>
        <w:t>9.2 API 规则</w:t>
      </w:r>
    </w:p>
    <w:p>
      <w:pPr>
        <w:pStyle w:val="ListBullet"/>
        <w:numPr>
          <w:ilvl w:val="0"/>
          <w:numId w:val="10"/>
        </w:numPr>
      </w:pPr>
      <w:r>
        <w:t>使用 JSON、UTF-8、HTTPS，时间使用 ISO 8601，金额遵循统一金额对象。</w:t>
      </w:r>
    </w:p>
    <w:p>
      <w:pPr>
        <w:pStyle w:val="ListBullet"/>
        <w:numPr>
          <w:ilvl w:val="0"/>
          <w:numId w:val="10"/>
        </w:numPr>
      </w:pPr>
      <w:r>
        <w:t xml:space="preserve">写接口必须支持 </w:t>
      </w:r>
      <w:r>
        <w:rPr>
          <w:rFonts w:ascii="Consolas" w:hAnsi="Consolas" w:eastAsia="等线"/>
          <w:color w:val="1F4D78"/>
          <w:sz w:val="20"/>
        </w:rPr>
        <w:t>request_id</w:t>
      </w:r>
      <w:r>
        <w:t xml:space="preserve">；可重试操作必须支持 </w:t>
      </w:r>
      <w:r>
        <w:rPr>
          <w:rFonts w:ascii="Consolas" w:hAnsi="Consolas" w:eastAsia="等线"/>
          <w:color w:val="1F4D78"/>
          <w:sz w:val="20"/>
        </w:rPr>
        <w:t>idempotency_key</w:t>
      </w:r>
      <w:r>
        <w:t>。</w:t>
      </w:r>
    </w:p>
    <w:p>
      <w:pPr>
        <w:pStyle w:val="ListBullet"/>
        <w:numPr>
          <w:ilvl w:val="0"/>
          <w:numId w:val="10"/>
        </w:numPr>
      </w:pPr>
      <w:r>
        <w:t>POS 请求必须携带服务端验证的设备身份、应用版本和协议版本。</w:t>
      </w:r>
    </w:p>
    <w:p>
      <w:pPr>
        <w:pStyle w:val="ListBullet"/>
        <w:numPr>
          <w:ilvl w:val="0"/>
          <w:numId w:val="10"/>
        </w:numPr>
      </w:pPr>
      <w:r>
        <w:t>列表采用游标或稳定分页；不得对变化数据依赖不稳定页码同步。</w:t>
      </w:r>
    </w:p>
    <w:p>
      <w:pPr>
        <w:pStyle w:val="ListBullet"/>
        <w:numPr>
          <w:ilvl w:val="0"/>
          <w:numId w:val="10"/>
        </w:numPr>
      </w:pPr>
      <w:r>
        <w:t>错误响应包含稳定错误码、用户可理解消息、是否可重试和 Trace ID。</w:t>
      </w:r>
    </w:p>
    <w:p>
      <w:pPr>
        <w:pStyle w:val="ListBullet"/>
        <w:numPr>
          <w:ilvl w:val="0"/>
          <w:numId w:val="10"/>
        </w:numPr>
      </w:pPr>
      <w:r>
        <w:t>HTTP 状态表示协议结果，业务错误码表示业务原因，二者不得互相替代。</w:t>
      </w:r>
    </w:p>
    <w:p>
      <w:pPr>
        <w:pStyle w:val="ListBullet"/>
        <w:numPr>
          <w:ilvl w:val="0"/>
          <w:numId w:val="10"/>
        </w:numPr>
      </w:pPr>
      <w:r>
        <w:t>删除、退款、撤销、调价和库存调整必须记录原因与审计信息。</w:t>
      </w:r>
    </w:p>
    <w:p>
      <w:pPr>
        <w:pStyle w:val="ListBullet"/>
        <w:numPr>
          <w:ilvl w:val="0"/>
          <w:numId w:val="10"/>
        </w:numPr>
      </w:pPr>
      <w:r>
        <w:t>新字段默认向后兼容；删除或改变语义必须发布新版本并经过弃用期。</w:t>
      </w:r>
    </w:p>
    <w:p>
      <w:pPr>
        <w:pStyle w:val="Heading2"/>
      </w:pPr>
      <w:r>
        <w:t>9.3 事件规范</w:t>
      </w:r>
    </w:p>
    <w:p>
      <w:r>
        <w:t>所有领域和集成事件至少包含：</w:t>
      </w:r>
    </w:p>
    <w:p>
      <w:pPr>
        <w:spacing w:before="80" w:after="120" w:line="252" w:lineRule="auto"/>
        <w:ind w:left="115" w:right="115"/>
        <w:shd w:fill="F4F6F9"/>
        <w:pBdr>
          <w:top w:val="single" w:sz="4" w:space="4" w:color="D0D5DD"/>
          <w:left w:val="single" w:sz="4" w:space="4" w:color="D0D5DD"/>
          <w:bottom w:val="single" w:sz="4" w:space="4" w:color="D0D5DD"/>
          <w:right w:val="single" w:sz="4" w:space="4" w:color="D0D5DD"/>
        </w:pBdr>
      </w:pPr>
      <w:r>
        <w:rPr>
          <w:rFonts w:ascii="Consolas" w:hAnsi="Consolas" w:eastAsia="等线"/>
          <w:color w:val="202124"/>
          <w:sz w:val="17"/>
        </w:rPr>
        <w:t>{</w:t>
        <w:br/>
        <w:t xml:space="preserve">  "event_id": "01...ULID",</w:t>
        <w:br/>
        <w:t xml:space="preserve">  "event_type": "order.paid.v1",</w:t>
        <w:br/>
        <w:t xml:space="preserve">  "aggregate_id": "01...ULID",</w:t>
        <w:br/>
        <w:t xml:space="preserve">  "aggregate_version": 3,</w:t>
        <w:br/>
        <w:t xml:space="preserve">  "tenant_id": "1000001",</w:t>
        <w:br/>
        <w:t xml:space="preserve">  "occurred_at": "2026-08-15T10:30:00.000+08:00",</w:t>
        <w:br/>
        <w:t xml:space="preserve">  "trace_id": "...",</w:t>
        <w:br/>
        <w:t xml:space="preserve">  "producer": "pos-order",</w:t>
        <w:br/>
        <w:t xml:space="preserve">  "payload": {}</w:t>
        <w:br/>
        <w:t>}</w:t>
      </w:r>
    </w:p>
    <w:p>
      <w:pPr>
        <w:pStyle w:val="ListBullet"/>
        <w:numPr>
          <w:ilvl w:val="0"/>
          <w:numId w:val="10"/>
        </w:numPr>
      </w:pPr>
      <w:r>
        <w:t>事件名称必须包含版本。</w:t>
      </w:r>
    </w:p>
    <w:p>
      <w:pPr>
        <w:pStyle w:val="ListBullet"/>
        <w:numPr>
          <w:ilvl w:val="0"/>
          <w:numId w:val="10"/>
        </w:numPr>
      </w:pPr>
      <w:r>
        <w:t>事件表达已经发生的事实，不使用含糊的“处理数据”命名。</w:t>
      </w:r>
    </w:p>
    <w:p>
      <w:pPr>
        <w:pStyle w:val="ListBullet"/>
        <w:numPr>
          <w:ilvl w:val="0"/>
          <w:numId w:val="10"/>
        </w:numPr>
      </w:pPr>
      <w:r>
        <w:t>消费者只能修改自身领域数据。</w:t>
      </w:r>
    </w:p>
    <w:p>
      <w:pPr>
        <w:pStyle w:val="ListBullet"/>
        <w:numPr>
          <w:ilvl w:val="0"/>
          <w:numId w:val="10"/>
        </w:numPr>
      </w:pPr>
      <w:r>
        <w:t>事件 Schema 必须做契约测试，新增字段向后兼容。</w:t>
      </w:r>
    </w:p>
    <w:p>
      <w:pPr>
        <w:pStyle w:val="ListBullet"/>
        <w:numPr>
          <w:ilvl w:val="0"/>
          <w:numId w:val="10"/>
        </w:numPr>
      </w:pPr>
      <w:r>
        <w:t>原始第三方报文受控保存，标准事件不泄漏第三方私有字段。</w:t>
      </w:r>
    </w:p>
    <w:p>
      <w:pPr>
        <w:pStyle w:val="Heading2"/>
      </w:pPr>
      <w:r>
        <w:t>9.4 连接器边界</w:t>
      </w:r>
    </w:p>
    <w:p>
      <w:pPr>
        <w:pStyle w:val="ListBullet"/>
        <w:numPr>
          <w:ilvl w:val="0"/>
          <w:numId w:val="10"/>
        </w:numPr>
      </w:pPr>
      <w:r>
        <w:t>鲸熵汇、美团、抖音、京东、淘宝闪购、支付和财务软件均作为连接器。</w:t>
      </w:r>
    </w:p>
    <w:p>
      <w:pPr>
        <w:pStyle w:val="ListBullet"/>
        <w:numPr>
          <w:ilvl w:val="0"/>
          <w:numId w:val="10"/>
        </w:numPr>
      </w:pPr>
      <w:r>
        <w:t>连接器只依赖标准数据契约，不直接访问其他领域数据库表。</w:t>
      </w:r>
    </w:p>
    <w:p>
      <w:pPr>
        <w:pStyle w:val="ListBullet"/>
        <w:numPr>
          <w:ilvl w:val="0"/>
          <w:numId w:val="10"/>
        </w:numPr>
      </w:pPr>
      <w:r>
        <w:t>每个连接器独立授权、映射、限流、重试、死信、补偿、对账和版本管理。</w:t>
      </w:r>
    </w:p>
    <w:p>
      <w:pPr>
        <w:pStyle w:val="ListBullet"/>
        <w:numPr>
          <w:ilvl w:val="0"/>
          <w:numId w:val="10"/>
        </w:numPr>
      </w:pPr>
      <w:r>
        <w:t>回调先验签、去重和保存原始事实，再异步转换和处理。</w:t>
      </w:r>
    </w:p>
    <w:p>
      <w:pPr>
        <w:pStyle w:val="ListBullet"/>
        <w:numPr>
          <w:ilvl w:val="0"/>
          <w:numId w:val="10"/>
        </w:numPr>
      </w:pPr>
      <w:r>
        <w:t>连接器失败不得阻断 POS 本地现金收银核心链路。</w:t>
      </w:r>
    </w:p>
    <w:p>
      <w:pPr>
        <w:pStyle w:val="Heading1"/>
      </w:pPr>
      <w:r>
        <w:t>十、编码规范</w:t>
      </w:r>
    </w:p>
    <w:p>
      <w:pPr>
        <w:pStyle w:val="Heading2"/>
      </w:pPr>
      <w:r>
        <w:t>10.1 通用规则</w:t>
      </w:r>
    </w:p>
    <w:p>
      <w:pPr>
        <w:pStyle w:val="ListBullet"/>
        <w:numPr>
          <w:ilvl w:val="0"/>
          <w:numId w:val="10"/>
        </w:numPr>
      </w:pPr>
      <w:r>
        <w:t>代码、类名、字段名使用英文；业务文档、注释可以使用中文。</w:t>
      </w:r>
    </w:p>
    <w:p>
      <w:pPr>
        <w:pStyle w:val="ListBullet"/>
        <w:numPr>
          <w:ilvl w:val="0"/>
          <w:numId w:val="10"/>
        </w:numPr>
      </w:pPr>
      <w:r>
        <w:t xml:space="preserve">名称必须表达领域含义，禁止 </w:t>
      </w:r>
      <w:r>
        <w:rPr>
          <w:rFonts w:ascii="Consolas" w:hAnsi="Consolas" w:eastAsia="等线"/>
          <w:color w:val="1F4D78"/>
          <w:sz w:val="20"/>
        </w:rPr>
        <w:t>data1</w:t>
      </w:r>
      <w:r>
        <w:t>、</w:t>
      </w:r>
      <w:r>
        <w:rPr>
          <w:rFonts w:ascii="Consolas" w:hAnsi="Consolas" w:eastAsia="等线"/>
          <w:color w:val="1F4D78"/>
          <w:sz w:val="20"/>
        </w:rPr>
        <w:t>flag2</w:t>
      </w:r>
      <w:r>
        <w:t>、</w:t>
      </w:r>
      <w:r>
        <w:rPr>
          <w:rFonts w:ascii="Consolas" w:hAnsi="Consolas" w:eastAsia="等线"/>
          <w:color w:val="1F4D78"/>
          <w:sz w:val="20"/>
        </w:rPr>
        <w:t>handleBiz</w:t>
      </w:r>
      <w:r>
        <w:t xml:space="preserve"> 等模糊命名。</w:t>
      </w:r>
    </w:p>
    <w:p>
      <w:pPr>
        <w:pStyle w:val="ListBullet"/>
        <w:numPr>
          <w:ilvl w:val="0"/>
          <w:numId w:val="10"/>
        </w:numPr>
      </w:pPr>
      <w:r>
        <w:t>一个函数只做一个层级的事情；复杂状态变化使用明确命令和状态机。</w:t>
      </w:r>
    </w:p>
    <w:p>
      <w:pPr>
        <w:pStyle w:val="ListBullet"/>
        <w:numPr>
          <w:ilvl w:val="0"/>
          <w:numId w:val="10"/>
        </w:numPr>
      </w:pPr>
      <w:r>
        <w:t>禁止复制粘贴支付、金额、优惠、权限和租户判断。</w:t>
      </w:r>
    </w:p>
    <w:p>
      <w:pPr>
        <w:pStyle w:val="ListBullet"/>
        <w:numPr>
          <w:ilvl w:val="0"/>
          <w:numId w:val="10"/>
        </w:numPr>
      </w:pPr>
      <w:r>
        <w:t>不允许吞异常、空 Catch 或只打印日志后假装成功。</w:t>
      </w:r>
    </w:p>
    <w:p>
      <w:pPr>
        <w:pStyle w:val="ListBullet"/>
        <w:numPr>
          <w:ilvl w:val="0"/>
          <w:numId w:val="10"/>
        </w:numPr>
      </w:pPr>
      <w:r>
        <w:t>所有外部依赖必须配置连接、读取和总超时，并明确是否可重试。</w:t>
      </w:r>
    </w:p>
    <w:p>
      <w:pPr>
        <w:pStyle w:val="ListBullet"/>
        <w:numPr>
          <w:ilvl w:val="0"/>
          <w:numId w:val="10"/>
        </w:numPr>
      </w:pPr>
      <w:r>
        <w:t>重试必须有上限、退避、抖动和幂等条件。</w:t>
      </w:r>
    </w:p>
    <w:p>
      <w:pPr>
        <w:pStyle w:val="ListBullet"/>
        <w:numPr>
          <w:ilvl w:val="0"/>
          <w:numId w:val="10"/>
        </w:numPr>
      </w:pPr>
      <w:r>
        <w:t>核心规则变更必须同步更新规格、测试和 ADR/变更记录。</w:t>
      </w:r>
    </w:p>
    <w:p>
      <w:pPr>
        <w:pStyle w:val="Heading2"/>
      </w:pPr>
      <w:r>
        <w:t>10.2 Java 规范</w:t>
      </w:r>
    </w:p>
    <w:p>
      <w:pPr>
        <w:pStyle w:val="ListBullet"/>
        <w:numPr>
          <w:ilvl w:val="0"/>
          <w:numId w:val="10"/>
        </w:numPr>
      </w:pPr>
      <w:r>
        <w:t>Controller 只做鉴权上下文、参数校验、DTO 转换和调用应用服务。</w:t>
      </w:r>
    </w:p>
    <w:p>
      <w:pPr>
        <w:pStyle w:val="ListBullet"/>
        <w:numPr>
          <w:ilvl w:val="0"/>
          <w:numId w:val="10"/>
        </w:numPr>
      </w:pPr>
      <w:r>
        <w:t>应用服务负责用例和事务；领域对象负责不变量和状态迁移。</w:t>
      </w:r>
    </w:p>
    <w:p>
      <w:pPr>
        <w:pStyle w:val="ListBullet"/>
        <w:numPr>
          <w:ilvl w:val="0"/>
          <w:numId w:val="10"/>
        </w:numPr>
      </w:pPr>
      <w:r>
        <w:t>Repository 接口定义在领域层，实现位于基础设施层。</w:t>
      </w:r>
    </w:p>
    <w:p>
      <w:pPr>
        <w:pStyle w:val="ListBullet"/>
        <w:numPr>
          <w:ilvl w:val="0"/>
          <w:numId w:val="10"/>
        </w:numPr>
      </w:pPr>
      <w:r>
        <w:t>禁止 Controller 直接调用 Mapper。</w:t>
      </w:r>
    </w:p>
    <w:p>
      <w:pPr>
        <w:pStyle w:val="ListBullet"/>
        <w:numPr>
          <w:ilvl w:val="0"/>
          <w:numId w:val="10"/>
        </w:numPr>
      </w:pPr>
      <w:r>
        <w:t>禁止核心领域对象继承 RuoYi 通用 BaseEntity。</w:t>
      </w:r>
    </w:p>
    <w:p>
      <w:pPr>
        <w:pStyle w:val="ListBullet"/>
        <w:numPr>
          <w:ilvl w:val="0"/>
          <w:numId w:val="10"/>
        </w:numPr>
      </w:pPr>
      <w:r>
        <w:t>DTO、Command、Domain Model 和 Persistence Object 必须分离。</w:t>
      </w:r>
    </w:p>
    <w:p>
      <w:pPr>
        <w:pStyle w:val="ListBullet"/>
        <w:numPr>
          <w:ilvl w:val="0"/>
          <w:numId w:val="10"/>
        </w:numPr>
      </w:pPr>
      <w:r>
        <w:t>核心金额使用值对象封装，不在业务代码散写 BigDecimal 舍入。</w:t>
      </w:r>
    </w:p>
    <w:p>
      <w:pPr>
        <w:pStyle w:val="ListBullet"/>
        <w:numPr>
          <w:ilvl w:val="0"/>
          <w:numId w:val="10"/>
        </w:numPr>
      </w:pPr>
      <w:r>
        <w:t>使用 Bean Validation 处理格式约束，领域层再次检查业务不变量。</w:t>
      </w:r>
    </w:p>
    <w:p>
      <w:pPr>
        <w:pStyle w:val="ListBullet"/>
        <w:numPr>
          <w:ilvl w:val="0"/>
          <w:numId w:val="10"/>
        </w:numPr>
      </w:pPr>
      <w:r>
        <w:t>使用 Spotless/统一格式化、静态分析、ArchUnit 和依赖漏洞扫描。</w:t>
      </w:r>
    </w:p>
    <w:p>
      <w:pPr>
        <w:pStyle w:val="ListBullet"/>
        <w:numPr>
          <w:ilvl w:val="0"/>
          <w:numId w:val="10"/>
        </w:numPr>
      </w:pPr>
      <w:r>
        <w:t>对公共方法、状态机、外部契约和非显然算法编写有效注释；不写重复代码含义的注释。</w:t>
      </w:r>
    </w:p>
    <w:p>
      <w:pPr>
        <w:pStyle w:val="Heading2"/>
      </w:pPr>
      <w:r>
        <w:t>10.3 Flutter/Dart 规范</w:t>
      </w:r>
    </w:p>
    <w:p>
      <w:pPr>
        <w:pStyle w:val="ListBullet"/>
        <w:numPr>
          <w:ilvl w:val="0"/>
          <w:numId w:val="10"/>
        </w:numPr>
      </w:pPr>
      <w:r>
        <w:t xml:space="preserve">必须通过 </w:t>
      </w:r>
      <w:r>
        <w:rPr>
          <w:rFonts w:ascii="Consolas" w:hAnsi="Consolas" w:eastAsia="等线"/>
          <w:color w:val="1F4D78"/>
          <w:sz w:val="20"/>
        </w:rPr>
        <w:t>dart format</w:t>
      </w:r>
      <w:r>
        <w:t xml:space="preserve"> 和 </w:t>
      </w:r>
      <w:r>
        <w:rPr>
          <w:rFonts w:ascii="Consolas" w:hAnsi="Consolas" w:eastAsia="等线"/>
          <w:color w:val="1F4D78"/>
          <w:sz w:val="20"/>
        </w:rPr>
        <w:t>flutter analyze</w:t>
      </w:r>
      <w:r>
        <w:t>，警告不得带入主分支。</w:t>
      </w:r>
    </w:p>
    <w:p>
      <w:pPr>
        <w:pStyle w:val="ListBullet"/>
        <w:numPr>
          <w:ilvl w:val="0"/>
          <w:numId w:val="10"/>
        </w:numPr>
      </w:pPr>
      <w:r>
        <w:t xml:space="preserve">页面按 Feature 组织，不建立巨大 </w:t>
      </w:r>
      <w:r>
        <w:rPr>
          <w:rFonts w:ascii="Consolas" w:hAnsi="Consolas" w:eastAsia="等线"/>
          <w:color w:val="1F4D78"/>
          <w:sz w:val="20"/>
        </w:rPr>
        <w:t>utils</w:t>
      </w:r>
      <w:r>
        <w:t>、</w:t>
      </w:r>
      <w:r>
        <w:rPr>
          <w:rFonts w:ascii="Consolas" w:hAnsi="Consolas" w:eastAsia="等线"/>
          <w:color w:val="1F4D78"/>
          <w:sz w:val="20"/>
        </w:rPr>
        <w:t>common</w:t>
      </w:r>
      <w:r>
        <w:t xml:space="preserve"> 或万能 Service。</w:t>
      </w:r>
    </w:p>
    <w:p>
      <w:pPr>
        <w:pStyle w:val="ListBullet"/>
        <w:numPr>
          <w:ilvl w:val="0"/>
          <w:numId w:val="10"/>
        </w:numPr>
      </w:pPr>
      <w:r>
        <w:t>Widget 保持无业务副作用；数据库、HTTP 和设备调用通过 Use Case/Repository。</w:t>
      </w:r>
    </w:p>
    <w:p>
      <w:pPr>
        <w:pStyle w:val="ListBullet"/>
        <w:numPr>
          <w:ilvl w:val="0"/>
          <w:numId w:val="10"/>
        </w:numPr>
      </w:pPr>
      <w:r>
        <w:t>状态对象不可变；禁止到处使用全局可变单例。</w:t>
      </w:r>
    </w:p>
    <w:p>
      <w:pPr>
        <w:pStyle w:val="ListBullet"/>
        <w:numPr>
          <w:ilvl w:val="0"/>
          <w:numId w:val="10"/>
        </w:numPr>
      </w:pPr>
      <w:r>
        <w:rPr>
          <w:rFonts w:ascii="Consolas" w:hAnsi="Consolas" w:eastAsia="等线"/>
          <w:color w:val="1F4D78"/>
          <w:sz w:val="20"/>
        </w:rPr>
        <w:t>BuildContext</w:t>
      </w:r>
      <w:r>
        <w:t xml:space="preserve"> 不跨异步边界长期持有。</w:t>
      </w:r>
    </w:p>
    <w:p>
      <w:pPr>
        <w:pStyle w:val="ListBullet"/>
        <w:numPr>
          <w:ilvl w:val="0"/>
          <w:numId w:val="10"/>
        </w:numPr>
      </w:pPr>
      <w:r>
        <w:t>所有 Stream、Controller、监听和原生资源必须正确释放。</w:t>
      </w:r>
    </w:p>
    <w:p>
      <w:pPr>
        <w:pStyle w:val="ListBullet"/>
        <w:numPr>
          <w:ilvl w:val="0"/>
          <w:numId w:val="10"/>
        </w:numPr>
      </w:pPr>
      <w:r>
        <w:t>网络和数据库异常统一映射为领域错误，不向 UI 泄漏底层异常。</w:t>
      </w:r>
    </w:p>
    <w:p>
      <w:pPr>
        <w:pStyle w:val="ListBullet"/>
        <w:numPr>
          <w:ilvl w:val="0"/>
          <w:numId w:val="10"/>
        </w:numPr>
      </w:pPr>
      <w:r>
        <w:t>关键页面必须覆盖加载、空数据、失败、离线、未知结果和重试状态。</w:t>
      </w:r>
    </w:p>
    <w:p>
      <w:pPr>
        <w:pStyle w:val="ListBullet"/>
        <w:numPr>
          <w:ilvl w:val="0"/>
          <w:numId w:val="10"/>
        </w:numPr>
      </w:pPr>
      <w:r>
        <w:t>Platform Channel 只在原生适配包内出现，并配套模拟实现和契约测试。</w:t>
      </w:r>
    </w:p>
    <w:p>
      <w:pPr>
        <w:pStyle w:val="Heading2"/>
      </w:pPr>
      <w:r>
        <w:t>10.4 SQL 规范</w:t>
      </w:r>
    </w:p>
    <w:p>
      <w:pPr>
        <w:pStyle w:val="ListBullet"/>
        <w:numPr>
          <w:ilvl w:val="0"/>
          <w:numId w:val="10"/>
        </w:numPr>
      </w:pPr>
      <w:r>
        <w:t xml:space="preserve">禁止 </w:t>
      </w:r>
      <w:r>
        <w:rPr>
          <w:rFonts w:ascii="Consolas" w:hAnsi="Consolas" w:eastAsia="等线"/>
          <w:color w:val="1F4D78"/>
          <w:sz w:val="20"/>
        </w:rPr>
        <w:t>SELECT *</w:t>
      </w:r>
      <w:r>
        <w:t>；明确字段并审查执行计划。</w:t>
      </w:r>
    </w:p>
    <w:p>
      <w:pPr>
        <w:pStyle w:val="ListBullet"/>
        <w:numPr>
          <w:ilvl w:val="0"/>
          <w:numId w:val="10"/>
        </w:numPr>
      </w:pPr>
      <w:r>
        <w:t>所有租户查询必须具备租户条件；关键查询将租户字段置于联合索引前部的合理位置。</w:t>
      </w:r>
    </w:p>
    <w:p>
      <w:pPr>
        <w:pStyle w:val="ListBullet"/>
        <w:numPr>
          <w:ilvl w:val="0"/>
          <w:numId w:val="10"/>
        </w:numPr>
      </w:pPr>
      <w:r>
        <w:t>禁止无条件全表更新和删除。</w:t>
      </w:r>
    </w:p>
    <w:p>
      <w:pPr>
        <w:pStyle w:val="ListBullet"/>
        <w:numPr>
          <w:ilvl w:val="0"/>
          <w:numId w:val="10"/>
        </w:numPr>
      </w:pPr>
      <w:r>
        <w:t>批量写入限制单批大小，并有失败重试和幂等策略。</w:t>
      </w:r>
    </w:p>
    <w:p>
      <w:pPr>
        <w:pStyle w:val="ListBullet"/>
        <w:numPr>
          <w:ilvl w:val="0"/>
          <w:numId w:val="10"/>
        </w:numPr>
      </w:pPr>
      <w:r>
        <w:t>模糊查询、报表和导出不得拖慢交易库；达到阈值后使用只读副本或分析库。</w:t>
      </w:r>
    </w:p>
    <w:p>
      <w:pPr>
        <w:pStyle w:val="ListBullet"/>
        <w:numPr>
          <w:ilvl w:val="0"/>
          <w:numId w:val="10"/>
        </w:numPr>
      </w:pPr>
      <w:r>
        <w:t>生产 SQL 变更必须随版本迁移发布，不通过人工临时改表代替。</w:t>
      </w:r>
    </w:p>
    <w:p>
      <w:pPr>
        <w:pStyle w:val="Heading2"/>
      </w:pPr>
      <w:r>
        <w:t>10.5 Git 与评审</w:t>
      </w:r>
    </w:p>
    <w:p>
      <w:pPr>
        <w:pStyle w:val="ListBullet"/>
        <w:numPr>
          <w:ilvl w:val="0"/>
          <w:numId w:val="10"/>
        </w:numPr>
      </w:pPr>
      <w:r>
        <w:t>使用主干开发和短生命周期分支，主分支始终保持可发布。</w:t>
      </w:r>
    </w:p>
    <w:p>
      <w:pPr>
        <w:pStyle w:val="ListBullet"/>
        <w:numPr>
          <w:ilvl w:val="0"/>
          <w:numId w:val="10"/>
        </w:numPr>
      </w:pPr>
      <w:r>
        <w:t>提交信息遵循统一约定并关联需求或缺陷编号。</w:t>
      </w:r>
    </w:p>
    <w:p>
      <w:pPr>
        <w:pStyle w:val="ListBullet"/>
        <w:numPr>
          <w:ilvl w:val="0"/>
          <w:numId w:val="10"/>
        </w:numPr>
      </w:pPr>
      <w:r>
        <w:t>禁止直接推送主分支；必须通过 Pull Request、CI 和至少一名非作者评审。</w:t>
      </w:r>
    </w:p>
    <w:p>
      <w:pPr>
        <w:pStyle w:val="ListBullet"/>
        <w:numPr>
          <w:ilvl w:val="0"/>
          <w:numId w:val="10"/>
        </w:numPr>
      </w:pPr>
      <w:r>
        <w:t>支付、退款、库存、租户、安全和数据库迁移需要领域负责人或指定 CODEOWNER 评审。</w:t>
      </w:r>
    </w:p>
    <w:p>
      <w:pPr>
        <w:pStyle w:val="ListBullet"/>
        <w:numPr>
          <w:ilvl w:val="0"/>
          <w:numId w:val="10"/>
        </w:numPr>
      </w:pPr>
      <w:r>
        <w:t>大功能使用 Feature Flag，未完成功能不得以长期分支隔离。</w:t>
      </w:r>
    </w:p>
    <w:p>
      <w:pPr>
        <w:pStyle w:val="ListBullet"/>
        <w:numPr>
          <w:ilvl w:val="0"/>
          <w:numId w:val="10"/>
        </w:numPr>
      </w:pPr>
      <w:r>
        <w:t>每个 PR 应当保持单一目的，包含变更说明、风险、测试证据和回滚说明。</w:t>
      </w:r>
    </w:p>
    <w:p>
      <w:pPr>
        <w:pStyle w:val="Heading1"/>
      </w:pPr>
      <w:r>
        <w:t>十一、测试与质量门禁</w:t>
      </w:r>
    </w:p>
    <w:p>
      <w:pPr>
        <w:pStyle w:val="Heading2"/>
      </w:pPr>
      <w:r>
        <w:t>11.1 测试分层</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72"/>
        <w:gridCol w:w="7488"/>
      </w:tblGrid>
      <w:tr>
        <w:trPr>
          <w:cantSplit/>
          <w:tblHeader w:val="true"/>
        </w:trPr>
        <w:tc>
          <w:tcPr>
            <w:tcW w:type="dxa" w:w="1872"/>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类型</w:t>
            </w:r>
          </w:p>
        </w:tc>
        <w:tc>
          <w:tcPr>
            <w:tcW w:type="dxa" w:w="7488"/>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重点</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单元测试</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金额、数量、促销、状态机、账本、不变量和权限规则</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属性测试</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金额守恒、优惠分摊、库存守恒、重复消息幂等</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集成测试</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MySQL事务、Flyway、Redis、Outbox、支付沙箱、连接器沙箱</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契约测试</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OpenAPI、事件Schema、设备接口、连接器标准模型</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端到端测试</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开班、扫码、促销、支付、打印、退货、交班、同步</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故障注入</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断网、断电、超时、重复回调、乱序、应用被杀和存储不足</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安全测试</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租户越权、水平越权、注入、重放、签名、敏感数据和依赖漏洞</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实机测试</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每套硬件白名单的完整回归、长稳和升级</w:t>
            </w:r>
          </w:p>
        </w:tc>
      </w:tr>
    </w:tbl>
    <w:p>
      <w:pPr>
        <w:spacing w:before="0" w:after="40"/>
      </w:pPr>
    </w:p>
    <w:p>
      <w:pPr>
        <w:pStyle w:val="Heading2"/>
      </w:pPr>
      <w:r>
        <w:t>11.2 覆盖标准</w:t>
      </w:r>
    </w:p>
    <w:p>
      <w:pPr>
        <w:pStyle w:val="ListBullet"/>
        <w:numPr>
          <w:ilvl w:val="0"/>
          <w:numId w:val="10"/>
        </w:numPr>
      </w:pPr>
      <w:r>
        <w:t>核心领域模块分支覆盖率应达到 85% 以上。</w:t>
      </w:r>
    </w:p>
    <w:p>
      <w:pPr>
        <w:pStyle w:val="ListBullet"/>
        <w:numPr>
          <w:ilvl w:val="0"/>
          <w:numId w:val="10"/>
        </w:numPr>
      </w:pPr>
      <w:r>
        <w:t>普通模块不以单一覆盖率代替质量，但新增代码必须有与风险匹配的测试。</w:t>
      </w:r>
    </w:p>
    <w:p>
      <w:pPr>
        <w:pStyle w:val="ListBullet"/>
        <w:numPr>
          <w:ilvl w:val="0"/>
          <w:numId w:val="10"/>
        </w:numPr>
      </w:pPr>
      <w:r>
        <w:t>订单、支付、退款、库存、优惠分摊和同步的状态迁移必须实现规格中的全部合法与非法路径。</w:t>
      </w:r>
    </w:p>
    <w:p>
      <w:pPr>
        <w:pStyle w:val="ListBullet"/>
        <w:numPr>
          <w:ilvl w:val="0"/>
          <w:numId w:val="10"/>
        </w:numPr>
      </w:pPr>
      <w:r>
        <w:t>每个生产缺陷必须补充可复现的自动化测试或说明为何只能实机覆盖。</w:t>
      </w:r>
    </w:p>
    <w:p>
      <w:pPr>
        <w:pStyle w:val="Heading2"/>
      </w:pPr>
      <w:r>
        <w:t>11.3 Android POS 发布门禁</w:t>
      </w:r>
    </w:p>
    <w:p>
      <w:pPr>
        <w:pStyle w:val="ListBullet"/>
        <w:numPr>
          <w:ilvl w:val="0"/>
          <w:numId w:val="10"/>
        </w:numPr>
      </w:pPr>
      <w:r>
        <w:t>认证硬件上连续运行 72 小时无崩溃、无订单丢失和不可恢复资源泄漏。</w:t>
      </w:r>
    </w:p>
    <w:p>
      <w:pPr>
        <w:pStyle w:val="ListBullet"/>
        <w:numPr>
          <w:ilvl w:val="0"/>
          <w:numId w:val="10"/>
        </w:numPr>
      </w:pPr>
      <w:r>
        <w:t>强杀进程、系统重启和断电后，已提交订单和待同步数据完整恢复。</w:t>
      </w:r>
    </w:p>
    <w:p>
      <w:pPr>
        <w:pStyle w:val="ListBullet"/>
        <w:numPr>
          <w:ilvl w:val="0"/>
          <w:numId w:val="10"/>
        </w:numPr>
      </w:pPr>
      <w:r>
        <w:t>同一 Outbox 重放多次不产生重复订单、支付或库存流水。</w:t>
      </w:r>
    </w:p>
    <w:p>
      <w:pPr>
        <w:pStyle w:val="ListBullet"/>
        <w:numPr>
          <w:ilvl w:val="0"/>
          <w:numId w:val="10"/>
        </w:numPr>
      </w:pPr>
      <w:r>
        <w:t>打印机断开、缺纸和恢复后任务可追踪、可补打、不改变支付结果。</w:t>
      </w:r>
    </w:p>
    <w:p>
      <w:pPr>
        <w:pStyle w:val="ListBullet"/>
        <w:numPr>
          <w:ilvl w:val="0"/>
          <w:numId w:val="10"/>
        </w:numPr>
      </w:pPr>
      <w:r>
        <w:t>APK 升级失败可以回滚；数据库迁移失败不会破坏原交易数据。</w:t>
      </w:r>
    </w:p>
    <w:p>
      <w:pPr>
        <w:pStyle w:val="ListBullet"/>
        <w:numPr>
          <w:ilvl w:val="0"/>
          <w:numId w:val="10"/>
        </w:numPr>
      </w:pPr>
      <w:r>
        <w:t>离线能力和限制与产品界面、培训手册和验收用例一致。</w:t>
      </w:r>
    </w:p>
    <w:p>
      <w:pPr>
        <w:pStyle w:val="Heading2"/>
      </w:pPr>
      <w:r>
        <w:t>11.4 性能基线</w:t>
      </w:r>
    </w:p>
    <w:p>
      <w:pPr>
        <w:pStyle w:val="ListBullet"/>
        <w:numPr>
          <w:ilvl w:val="0"/>
          <w:numId w:val="10"/>
        </w:numPr>
      </w:pPr>
      <w:r>
        <w:t>本地扫码到商品入行的 P95 目标不超过 150ms，不含硬件解码时间。</w:t>
      </w:r>
    </w:p>
    <w:p>
      <w:pPr>
        <w:pStyle w:val="ListBullet"/>
        <w:numPr>
          <w:ilvl w:val="0"/>
          <w:numId w:val="10"/>
        </w:numPr>
      </w:pPr>
      <w:r>
        <w:t>本地购物车常规操作不得依赖云端接口。</w:t>
      </w:r>
    </w:p>
    <w:p>
      <w:pPr>
        <w:pStyle w:val="ListBullet"/>
        <w:numPr>
          <w:ilvl w:val="0"/>
          <w:numId w:val="10"/>
        </w:numPr>
      </w:pPr>
      <w:r>
        <w:t>在线核心写 API 在基准负载下 P95 目标不超过 500ms，第三方支付等待单独统计。</w:t>
      </w:r>
    </w:p>
    <w:p>
      <w:pPr>
        <w:pStyle w:val="ListBullet"/>
        <w:numPr>
          <w:ilvl w:val="0"/>
          <w:numId w:val="10"/>
        </w:numPr>
      </w:pPr>
      <w:r>
        <w:t>单终端支持不少于 7 天离线数据缓存和待同步空间，具体上限按门店模型压测确认。</w:t>
      </w:r>
    </w:p>
    <w:p>
      <w:pPr>
        <w:pStyle w:val="ListBullet"/>
        <w:numPr>
          <w:ilvl w:val="0"/>
          <w:numId w:val="10"/>
        </w:numPr>
      </w:pPr>
      <w:r>
        <w:t>批量下发、日结和报表不得抢占核心交易资源。</w:t>
      </w:r>
    </w:p>
    <w:p>
      <w:r>
        <w:t>性能指标是初始工程门槛，G1 PoC 后应按真实硬件和门店交易量修订。</w:t>
      </w:r>
    </w:p>
    <w:p>
      <w:pPr>
        <w:pStyle w:val="Heading1"/>
      </w:pPr>
      <w:r>
        <w:t>十二、CI/CD 与发布规范</w:t>
      </w:r>
    </w:p>
    <w:p>
      <w:pPr>
        <w:pStyle w:val="Heading2"/>
      </w:pPr>
      <w:r>
        <w:t>12.1 服务端流水线</w:t>
      </w:r>
    </w:p>
    <w:p>
      <w:r>
        <w:t>流水线至少包含：</w:t>
      </w:r>
    </w:p>
    <w:p>
      <w:pPr>
        <w:pStyle w:val="ListNumber"/>
        <w:numPr>
          <w:ilvl w:val="0"/>
          <w:numId w:val="11"/>
        </w:numPr>
      </w:pPr>
      <w:r>
        <w:t>格式化和静态检查。</w:t>
      </w:r>
    </w:p>
    <w:p>
      <w:pPr>
        <w:pStyle w:val="ListNumber"/>
        <w:numPr>
          <w:ilvl w:val="0"/>
          <w:numId w:val="11"/>
        </w:numPr>
      </w:pPr>
      <w:r>
        <w:t>单元测试和架构边界测试。</w:t>
      </w:r>
    </w:p>
    <w:p>
      <w:pPr>
        <w:pStyle w:val="ListNumber"/>
        <w:numPr>
          <w:ilvl w:val="0"/>
          <w:numId w:val="11"/>
        </w:numPr>
      </w:pPr>
      <w:r>
        <w:t>集成测试、Flyway 空库/升级测试。</w:t>
      </w:r>
    </w:p>
    <w:p>
      <w:pPr>
        <w:pStyle w:val="ListNumber"/>
        <w:numPr>
          <w:ilvl w:val="0"/>
          <w:numId w:val="11"/>
        </w:numPr>
      </w:pPr>
      <w:r>
        <w:t>OpenAPI 和事件契约兼容性检查。</w:t>
      </w:r>
    </w:p>
    <w:p>
      <w:pPr>
        <w:pStyle w:val="ListNumber"/>
        <w:numPr>
          <w:ilvl w:val="0"/>
          <w:numId w:val="11"/>
        </w:numPr>
      </w:pPr>
      <w:r>
        <w:t>依赖漏洞、许可证、密钥和镜像扫描。</w:t>
      </w:r>
    </w:p>
    <w:p>
      <w:pPr>
        <w:pStyle w:val="ListNumber"/>
        <w:numPr>
          <w:ilvl w:val="0"/>
          <w:numId w:val="11"/>
        </w:numPr>
      </w:pPr>
      <w:r>
        <w:t>构建不可变制品、生成 SBOM 并签名。</w:t>
      </w:r>
    </w:p>
    <w:p>
      <w:pPr>
        <w:pStyle w:val="ListNumber"/>
        <w:numPr>
          <w:ilvl w:val="0"/>
          <w:numId w:val="11"/>
        </w:numPr>
      </w:pPr>
      <w:r>
        <w:t>部署集成环境，执行端到端测试。</w:t>
      </w:r>
    </w:p>
    <w:p>
      <w:pPr>
        <w:pStyle w:val="ListNumber"/>
        <w:numPr>
          <w:ilvl w:val="0"/>
          <w:numId w:val="11"/>
        </w:numPr>
      </w:pPr>
      <w:r>
        <w:t>预生产验证、数据库备份检查和灰度发布。</w:t>
      </w:r>
    </w:p>
    <w:p>
      <w:pPr>
        <w:pStyle w:val="ListNumber"/>
        <w:numPr>
          <w:ilvl w:val="0"/>
          <w:numId w:val="11"/>
        </w:numPr>
      </w:pPr>
      <w:r>
        <w:t>自动健康检查；失败时停止扩散并执行回滚/前向修复。</w:t>
      </w:r>
    </w:p>
    <w:p>
      <w:pPr>
        <w:pStyle w:val="Heading2"/>
      </w:pPr>
      <w:r>
        <w:t>12.2 Flutter 流水线</w:t>
      </w:r>
    </w:p>
    <w:p>
      <w:pPr>
        <w:pStyle w:val="ListBullet"/>
        <w:numPr>
          <w:ilvl w:val="0"/>
          <w:numId w:val="10"/>
        </w:numPr>
      </w:pPr>
      <w:r>
        <w:t>固定 Flutter SDK、Dart SDK、Gradle、JDK 和依赖锁文件。</w:t>
      </w:r>
    </w:p>
    <w:p>
      <w:pPr>
        <w:pStyle w:val="ListBullet"/>
        <w:numPr>
          <w:ilvl w:val="0"/>
          <w:numId w:val="10"/>
        </w:numPr>
      </w:pPr>
      <w:r>
        <w:t>执行格式化、分析、单元、Widget、集成和设备契约测试。</w:t>
      </w:r>
    </w:p>
    <w:p>
      <w:pPr>
        <w:pStyle w:val="ListBullet"/>
        <w:numPr>
          <w:ilvl w:val="0"/>
          <w:numId w:val="10"/>
        </w:numPr>
      </w:pPr>
      <w:r>
        <w:t>Android 按环境和渠道使用独立 Flavor，不通过运行时手工改地址。</w:t>
      </w:r>
    </w:p>
    <w:p>
      <w:pPr>
        <w:pStyle w:val="ListBullet"/>
        <w:numPr>
          <w:ilvl w:val="0"/>
          <w:numId w:val="10"/>
        </w:numPr>
      </w:pPr>
      <w:r>
        <w:t>APK/AAB 使用受控签名密钥，构建产物生成校验摘要和 SBOM。</w:t>
      </w:r>
    </w:p>
    <w:p>
      <w:pPr>
        <w:pStyle w:val="ListBullet"/>
        <w:numPr>
          <w:ilvl w:val="0"/>
          <w:numId w:val="10"/>
        </w:numPr>
      </w:pPr>
      <w:r>
        <w:t>版本号由 CI 产生且单调递增；服务端维护协议和最低支持版本。</w:t>
      </w:r>
    </w:p>
    <w:p>
      <w:pPr>
        <w:pStyle w:val="ListBullet"/>
        <w:numPr>
          <w:ilvl w:val="0"/>
          <w:numId w:val="10"/>
        </w:numPr>
      </w:pPr>
      <w:r>
        <w:t>采用内测、试点门店、小比例灰度、区域灰度、全量发布顺序。</w:t>
      </w:r>
    </w:p>
    <w:p>
      <w:pPr>
        <w:pStyle w:val="ListBullet"/>
        <w:numPr>
          <w:ilvl w:val="0"/>
          <w:numId w:val="10"/>
        </w:numPr>
      </w:pPr>
      <w:r>
        <w:t>强制升级只用于安全、协议不兼容或重大缺陷，并提供营业时段保护。</w:t>
      </w:r>
    </w:p>
    <w:p>
      <w:pPr>
        <w:pStyle w:val="Heading2"/>
      </w:pPr>
      <w:r>
        <w:t>12.3 配置与密钥</w:t>
      </w:r>
    </w:p>
    <w:p>
      <w:pPr>
        <w:pStyle w:val="ListBullet"/>
        <w:numPr>
          <w:ilvl w:val="0"/>
          <w:numId w:val="10"/>
        </w:numPr>
      </w:pPr>
      <w:r>
        <w:t>配置按环境管理，禁止把生产密钥、支付证书和连接器凭证提交到仓库。</w:t>
      </w:r>
    </w:p>
    <w:p>
      <w:pPr>
        <w:pStyle w:val="ListBullet"/>
        <w:numPr>
          <w:ilvl w:val="0"/>
          <w:numId w:val="10"/>
        </w:numPr>
      </w:pPr>
      <w:r>
        <w:t>Feature Flag 具有负责人、范围、默认值、启停审计和清理日期。</w:t>
      </w:r>
    </w:p>
    <w:p>
      <w:pPr>
        <w:pStyle w:val="ListBullet"/>
        <w:numPr>
          <w:ilvl w:val="0"/>
          <w:numId w:val="10"/>
        </w:numPr>
      </w:pPr>
      <w:r>
        <w:t>支付、连接器和签名密钥支持轮换，不因轮换要求全量停机。</w:t>
      </w:r>
    </w:p>
    <w:p>
      <w:pPr>
        <w:pStyle w:val="ListBullet"/>
        <w:numPr>
          <w:ilvl w:val="0"/>
          <w:numId w:val="10"/>
        </w:numPr>
      </w:pPr>
      <w:r>
        <w:t>客户端只包含公开配置和公钥，不包含服务端密钥。</w:t>
      </w:r>
    </w:p>
    <w:p>
      <w:pPr>
        <w:pStyle w:val="Heading1"/>
      </w:pPr>
      <w:r>
        <w:t>十三、可观测性与运维规范</w:t>
      </w:r>
    </w:p>
    <w:p>
      <w:pPr>
        <w:pStyle w:val="Heading2"/>
      </w:pPr>
      <w:r>
        <w:t>13.1 统一关联标识</w:t>
      </w:r>
    </w:p>
    <w:p>
      <w:r>
        <w:t>请求、订单、支付、退款、同步、打印和连接器统一关联以下标识：</w:t>
      </w:r>
    </w:p>
    <w:p>
      <w:pPr>
        <w:pStyle w:val="ListBullet"/>
        <w:numPr>
          <w:ilvl w:val="0"/>
          <w:numId w:val="10"/>
        </w:numPr>
      </w:pPr>
      <w:r>
        <w:rPr>
          <w:rFonts w:ascii="Consolas" w:hAnsi="Consolas" w:eastAsia="等线"/>
          <w:color w:val="1F4D78"/>
          <w:sz w:val="20"/>
        </w:rPr>
        <w:t>trace_id</w:t>
      </w:r>
    </w:p>
    <w:p>
      <w:pPr>
        <w:pStyle w:val="ListBullet"/>
        <w:numPr>
          <w:ilvl w:val="0"/>
          <w:numId w:val="10"/>
        </w:numPr>
      </w:pPr>
      <w:r>
        <w:rPr>
          <w:rFonts w:ascii="Consolas" w:hAnsi="Consolas" w:eastAsia="等线"/>
          <w:color w:val="1F4D78"/>
          <w:sz w:val="20"/>
        </w:rPr>
        <w:t>tenant_id</w:t>
      </w:r>
    </w:p>
    <w:p>
      <w:pPr>
        <w:pStyle w:val="ListBullet"/>
        <w:numPr>
          <w:ilvl w:val="0"/>
          <w:numId w:val="10"/>
        </w:numPr>
      </w:pPr>
      <w:r>
        <w:rPr>
          <w:rFonts w:ascii="Consolas" w:hAnsi="Consolas" w:eastAsia="等线"/>
          <w:color w:val="1F4D78"/>
          <w:sz w:val="20"/>
        </w:rPr>
        <w:t>store_id</w:t>
      </w:r>
    </w:p>
    <w:p>
      <w:pPr>
        <w:pStyle w:val="ListBullet"/>
        <w:numPr>
          <w:ilvl w:val="0"/>
          <w:numId w:val="10"/>
        </w:numPr>
      </w:pPr>
      <w:r>
        <w:rPr>
          <w:rFonts w:ascii="Consolas" w:hAnsi="Consolas" w:eastAsia="等线"/>
          <w:color w:val="1F4D78"/>
          <w:sz w:val="20"/>
        </w:rPr>
        <w:t>device_id</w:t>
      </w:r>
    </w:p>
    <w:p>
      <w:pPr>
        <w:pStyle w:val="ListBullet"/>
        <w:numPr>
          <w:ilvl w:val="0"/>
          <w:numId w:val="10"/>
        </w:numPr>
      </w:pPr>
      <w:r>
        <w:rPr>
          <w:rFonts w:ascii="Consolas" w:hAnsi="Consolas" w:eastAsia="等线"/>
          <w:color w:val="1F4D78"/>
          <w:sz w:val="20"/>
        </w:rPr>
        <w:t>business_date</w:t>
      </w:r>
    </w:p>
    <w:p>
      <w:pPr>
        <w:pStyle w:val="ListBullet"/>
        <w:numPr>
          <w:ilvl w:val="0"/>
          <w:numId w:val="10"/>
        </w:numPr>
      </w:pPr>
      <w:r>
        <w:rPr>
          <w:rFonts w:ascii="Consolas" w:hAnsi="Consolas" w:eastAsia="等线"/>
          <w:color w:val="1F4D78"/>
          <w:sz w:val="20"/>
        </w:rPr>
        <w:t>order_id</w:t>
      </w:r>
      <w:r>
        <w:t>/</w:t>
      </w:r>
      <w:r>
        <w:rPr>
          <w:rFonts w:ascii="Consolas" w:hAnsi="Consolas" w:eastAsia="等线"/>
          <w:color w:val="1F4D78"/>
          <w:sz w:val="20"/>
        </w:rPr>
        <w:t>payment_id</w:t>
      </w:r>
      <w:r>
        <w:t xml:space="preserve"> 等业务标识</w:t>
      </w:r>
    </w:p>
    <w:p>
      <w:r>
        <w:t>敏感标识在日志平台显示时必须脱敏或受权限控制。</w:t>
      </w:r>
    </w:p>
    <w:p>
      <w:pPr>
        <w:pStyle w:val="Heading2"/>
      </w:pPr>
      <w:r>
        <w:t>13.2 核心指标</w:t>
      </w:r>
    </w:p>
    <w:p>
      <w:pPr>
        <w:pStyle w:val="ListBullet"/>
        <w:numPr>
          <w:ilvl w:val="0"/>
          <w:numId w:val="10"/>
        </w:numPr>
      </w:pPr>
      <w:r>
        <w:t>POS 在线率、版本分布、最后心跳、磁盘空间和待同步数量。</w:t>
      </w:r>
    </w:p>
    <w:p>
      <w:pPr>
        <w:pStyle w:val="ListBullet"/>
        <w:numPr>
          <w:ilvl w:val="0"/>
          <w:numId w:val="10"/>
        </w:numPr>
      </w:pPr>
      <w:r>
        <w:t>订单成功率、未知订单数、同步延迟和冲突数量。</w:t>
      </w:r>
    </w:p>
    <w:p>
      <w:pPr>
        <w:pStyle w:val="ListBullet"/>
        <w:numPr>
          <w:ilvl w:val="0"/>
          <w:numId w:val="10"/>
        </w:numPr>
      </w:pPr>
      <w:r>
        <w:t>支付成功率、未知支付率、退款失败率和对账差异。</w:t>
      </w:r>
    </w:p>
    <w:p>
      <w:pPr>
        <w:pStyle w:val="ListBullet"/>
        <w:numPr>
          <w:ilvl w:val="0"/>
          <w:numId w:val="10"/>
        </w:numPr>
      </w:pPr>
      <w:r>
        <w:t>打印成功率、平均重试次数和各型号硬件故障率。</w:t>
      </w:r>
    </w:p>
    <w:p>
      <w:pPr>
        <w:pStyle w:val="ListBullet"/>
        <w:numPr>
          <w:ilvl w:val="0"/>
          <w:numId w:val="10"/>
        </w:numPr>
      </w:pPr>
      <w:r>
        <w:t>API 延迟、错误率、数据库连接、慢 SQL、缓存命中和 Outbox 积压。</w:t>
      </w:r>
    </w:p>
    <w:p>
      <w:pPr>
        <w:pStyle w:val="ListBullet"/>
        <w:numPr>
          <w:ilvl w:val="0"/>
          <w:numId w:val="10"/>
        </w:numPr>
      </w:pPr>
      <w:r>
        <w:t>连接器回调延迟、重试、死信、授权过期和平台限流。</w:t>
      </w:r>
    </w:p>
    <w:p>
      <w:pPr>
        <w:pStyle w:val="Heading2"/>
      </w:pPr>
      <w:r>
        <w:t>13.3 诊断包</w:t>
      </w:r>
    </w:p>
    <w:p>
      <w:r>
        <w:t>终端诊断包应当包含版本、设备能力、配置摘要、最近脱敏日志、数据库健康、同步游标和外设状态，不包含明文密码、令牌、支付密钥和不必要的会员信息。上传必须由用户授权或按合同中的受控远程支持策略执行。</w:t>
      </w:r>
    </w:p>
    <w:p>
      <w:pPr>
        <w:pStyle w:val="Heading2"/>
      </w:pPr>
      <w:r>
        <w:t>13.4 灾备</w:t>
      </w:r>
    </w:p>
    <w:p>
      <w:pPr>
        <w:pStyle w:val="ListBullet"/>
        <w:numPr>
          <w:ilvl w:val="0"/>
          <w:numId w:val="10"/>
        </w:numPr>
      </w:pPr>
      <w:r>
        <w:t>明确生产数据库 RPO/RTO，并按季度验证恢复演练。</w:t>
      </w:r>
    </w:p>
    <w:p>
      <w:pPr>
        <w:pStyle w:val="ListBullet"/>
        <w:numPr>
          <w:ilvl w:val="0"/>
          <w:numId w:val="10"/>
        </w:numPr>
      </w:pPr>
      <w:r>
        <w:t>备份必须加密、异地保存、定期恢复验证，不以“备份任务成功”代替可恢复性。</w:t>
      </w:r>
    </w:p>
    <w:p>
      <w:pPr>
        <w:pStyle w:val="ListBullet"/>
        <w:numPr>
          <w:ilvl w:val="0"/>
          <w:numId w:val="10"/>
        </w:numPr>
      </w:pPr>
      <w:r>
        <w:t>终端离线数据不能代替云端备份，云端备份也不能代替 POS 本地恢复机制。</w:t>
      </w:r>
    </w:p>
    <w:p>
      <w:pPr>
        <w:pStyle w:val="ListBullet"/>
        <w:numPr>
          <w:ilvl w:val="0"/>
          <w:numId w:val="10"/>
        </w:numPr>
      </w:pPr>
      <w:r>
        <w:t>严重事件必须有 Runbook、值班升级和复盘改进。</w:t>
      </w:r>
    </w:p>
    <w:p>
      <w:pPr>
        <w:pStyle w:val="Heading1"/>
      </w:pPr>
      <w:r>
        <w:t>十四、AI 辅助开发规范</w:t>
      </w:r>
    </w:p>
    <w:p>
      <w:pPr>
        <w:pStyle w:val="Heading2"/>
      </w:pPr>
      <w:r>
        <w:t>14.1 可使用场景</w:t>
      </w:r>
    </w:p>
    <w:p>
      <w:pPr>
        <w:pStyle w:val="ListBullet"/>
        <w:numPr>
          <w:ilvl w:val="0"/>
          <w:numId w:val="10"/>
        </w:numPr>
      </w:pPr>
      <w:r>
        <w:t>普通后台页面、DTO、接口样板和低风险 CRUD。</w:t>
      </w:r>
    </w:p>
    <w:p>
      <w:pPr>
        <w:pStyle w:val="ListBullet"/>
        <w:numPr>
          <w:ilvl w:val="0"/>
          <w:numId w:val="10"/>
        </w:numPr>
      </w:pPr>
      <w:r>
        <w:t>单元测试、契约测试、异常场景和设备模拟器初稿。</w:t>
      </w:r>
    </w:p>
    <w:p>
      <w:pPr>
        <w:pStyle w:val="ListBullet"/>
        <w:numPr>
          <w:ilvl w:val="0"/>
          <w:numId w:val="10"/>
        </w:numPr>
      </w:pPr>
      <w:r>
        <w:t>数据迁移工具、日志分析、文档和代码解释。</w:t>
      </w:r>
    </w:p>
    <w:p>
      <w:pPr>
        <w:pStyle w:val="ListBullet"/>
        <w:numPr>
          <w:ilvl w:val="0"/>
          <w:numId w:val="10"/>
        </w:numPr>
      </w:pPr>
      <w:r>
        <w:t>在既定状态机、表结构和协议下生成实现草案。</w:t>
      </w:r>
    </w:p>
    <w:p>
      <w:pPr>
        <w:pStyle w:val="Heading2"/>
      </w:pPr>
      <w:r>
        <w:t>14.2 强制限制</w:t>
      </w:r>
    </w:p>
    <w:p>
      <w:pPr>
        <w:pStyle w:val="ListBullet"/>
        <w:numPr>
          <w:ilvl w:val="0"/>
          <w:numId w:val="10"/>
        </w:numPr>
      </w:pPr>
      <w:r>
        <w:t>AI 不得自行决定金额口径、支付状态、库存扣减、促销叠加、租户边界和安全策略。</w:t>
      </w:r>
    </w:p>
    <w:p>
      <w:pPr>
        <w:pStyle w:val="ListBullet"/>
        <w:numPr>
          <w:ilvl w:val="0"/>
          <w:numId w:val="10"/>
        </w:numPr>
      </w:pPr>
      <w:r>
        <w:t>AI 生成的数据库迁移、支付、退款、库存、权限和加密代码必须由对应负责人评审。</w:t>
      </w:r>
    </w:p>
    <w:p>
      <w:pPr>
        <w:pStyle w:val="ListBullet"/>
        <w:numPr>
          <w:ilvl w:val="0"/>
          <w:numId w:val="10"/>
        </w:numPr>
      </w:pPr>
      <w:r>
        <w:t>AI 不得接触生产密钥、完整生产数据、支付敏感报文和未脱敏会员数据。</w:t>
      </w:r>
    </w:p>
    <w:p>
      <w:pPr>
        <w:pStyle w:val="ListBullet"/>
        <w:numPr>
          <w:ilvl w:val="0"/>
          <w:numId w:val="10"/>
        </w:numPr>
      </w:pPr>
      <w:r>
        <w:t>AI 生成代码不得直接合并或发布，必须经过同等 CI、测试和人工审查。</w:t>
      </w:r>
    </w:p>
    <w:p>
      <w:pPr>
        <w:pStyle w:val="ListBullet"/>
        <w:numPr>
          <w:ilvl w:val="0"/>
          <w:numId w:val="10"/>
        </w:numPr>
      </w:pPr>
      <w:r>
        <w:t>需求、状态机、数据契约不明确时，先补规格，不允许通过反复生成代码碰运气。</w:t>
      </w:r>
    </w:p>
    <w:p>
      <w:pPr>
        <w:pStyle w:val="Heading2"/>
      </w:pPr>
      <w:r>
        <w:t>14.3 AI 变更清单</w:t>
      </w:r>
    </w:p>
    <w:p>
      <w:r>
        <w:t>每个 AI 辅助 PR 应回答：</w:t>
      </w:r>
    </w:p>
    <w:p>
      <w:pPr>
        <w:pStyle w:val="ListBullet"/>
        <w:numPr>
          <w:ilvl w:val="0"/>
          <w:numId w:val="10"/>
        </w:numPr>
      </w:pPr>
      <w:r>
        <w:t>使用了哪一份已批准规格。</w:t>
      </w:r>
    </w:p>
    <w:p>
      <w:pPr>
        <w:pStyle w:val="ListBullet"/>
        <w:numPr>
          <w:ilvl w:val="0"/>
          <w:numId w:val="10"/>
        </w:numPr>
      </w:pPr>
      <w:r>
        <w:t>哪些代码由 AI 生成或大幅改写。</w:t>
      </w:r>
    </w:p>
    <w:p>
      <w:pPr>
        <w:pStyle w:val="ListBullet"/>
        <w:numPr>
          <w:ilvl w:val="0"/>
          <w:numId w:val="10"/>
        </w:numPr>
      </w:pPr>
      <w:r>
        <w:t>人工验证了哪些不变量和异常路径。</w:t>
      </w:r>
    </w:p>
    <w:p>
      <w:pPr>
        <w:pStyle w:val="ListBullet"/>
        <w:numPr>
          <w:ilvl w:val="0"/>
          <w:numId w:val="10"/>
        </w:numPr>
      </w:pPr>
      <w:r>
        <w:t>新增了哪些自动化测试。</w:t>
      </w:r>
    </w:p>
    <w:p>
      <w:pPr>
        <w:pStyle w:val="ListBullet"/>
        <w:numPr>
          <w:ilvl w:val="0"/>
          <w:numId w:val="10"/>
        </w:numPr>
      </w:pPr>
      <w:r>
        <w:t>是否引入新依赖、许可证或数据安全风险。</w:t>
      </w:r>
    </w:p>
    <w:p>
      <w:pPr>
        <w:pStyle w:val="ListBullet"/>
        <w:numPr>
          <w:ilvl w:val="0"/>
          <w:numId w:val="10"/>
        </w:numPr>
      </w:pPr>
      <w:r>
        <w:t>如何回滚或关闭该功能。</w:t>
      </w:r>
    </w:p>
    <w:p>
      <w:pPr>
        <w:pStyle w:val="Heading1"/>
      </w:pPr>
      <w:r>
        <w:t>十五、研发流程与 Definition of Done</w:t>
      </w:r>
    </w:p>
    <w:p>
      <w:pPr>
        <w:pStyle w:val="Heading2"/>
      </w:pPr>
      <w:r>
        <w:t>15.1 需求进入开发前</w:t>
      </w:r>
    </w:p>
    <w:p>
      <w:pPr>
        <w:pStyle w:val="ListBullet"/>
        <w:numPr>
          <w:ilvl w:val="0"/>
          <w:numId w:val="10"/>
        </w:numPr>
      </w:pPr>
      <w:r>
        <w:t>具备需求 ID、范围、非目标和验收标准。</w:t>
      </w:r>
    </w:p>
    <w:p>
      <w:pPr>
        <w:pStyle w:val="ListBullet"/>
        <w:numPr>
          <w:ilvl w:val="0"/>
          <w:numId w:val="10"/>
        </w:numPr>
      </w:pPr>
      <w:r>
        <w:t>核心业务具备状态机、不变量、权限和审计要求。</w:t>
      </w:r>
    </w:p>
    <w:p>
      <w:pPr>
        <w:pStyle w:val="ListBullet"/>
        <w:numPr>
          <w:ilvl w:val="0"/>
          <w:numId w:val="10"/>
        </w:numPr>
      </w:pPr>
      <w:r>
        <w:t>涉及跨模块时明确数据主权、API/事件契约和失败补偿。</w:t>
      </w:r>
    </w:p>
    <w:p>
      <w:pPr>
        <w:pStyle w:val="ListBullet"/>
        <w:numPr>
          <w:ilvl w:val="0"/>
          <w:numId w:val="10"/>
        </w:numPr>
      </w:pPr>
      <w:r>
        <w:t>涉及设备时明确认证型号、厂商 SDK、测试设备和替代方案。</w:t>
      </w:r>
    </w:p>
    <w:p>
      <w:pPr>
        <w:pStyle w:val="ListBullet"/>
        <w:numPr>
          <w:ilvl w:val="0"/>
          <w:numId w:val="10"/>
        </w:numPr>
      </w:pPr>
      <w:r>
        <w:t>涉及数据库时明确迁移、兼容、容量和回滚/前向修复方案。</w:t>
      </w:r>
    </w:p>
    <w:p>
      <w:pPr>
        <w:pStyle w:val="Heading2"/>
      </w:pPr>
      <w:r>
        <w:t>15.2 完成定义</w:t>
      </w:r>
    </w:p>
    <w:p>
      <w:r>
        <w:t>功能只有同时满足以下条件才算完成：</w:t>
      </w:r>
    </w:p>
    <w:p>
      <w:pPr>
        <w:pStyle w:val="ListBullet"/>
        <w:numPr>
          <w:ilvl w:val="0"/>
          <w:numId w:val="10"/>
        </w:numPr>
      </w:pPr>
      <w:r>
        <w:t>代码符合模块边界和编码规范。</w:t>
      </w:r>
    </w:p>
    <w:p>
      <w:pPr>
        <w:pStyle w:val="ListBullet"/>
        <w:numPr>
          <w:ilvl w:val="0"/>
          <w:numId w:val="10"/>
        </w:numPr>
      </w:pPr>
      <w:r>
        <w:t>单元、集成、契约、端到端或实机测试与风险匹配。</w:t>
      </w:r>
    </w:p>
    <w:p>
      <w:pPr>
        <w:pStyle w:val="ListBullet"/>
        <w:numPr>
          <w:ilvl w:val="0"/>
          <w:numId w:val="10"/>
        </w:numPr>
      </w:pPr>
      <w:r>
        <w:t>权限、租户、审计、幂等、日志脱敏和异常恢复已覆盖。</w:t>
      </w:r>
    </w:p>
    <w:p>
      <w:pPr>
        <w:pStyle w:val="ListBullet"/>
        <w:numPr>
          <w:ilvl w:val="0"/>
          <w:numId w:val="10"/>
        </w:numPr>
      </w:pPr>
      <w:r>
        <w:t>API、事件、数据库迁移和用户文档已更新。</w:t>
      </w:r>
    </w:p>
    <w:p>
      <w:pPr>
        <w:pStyle w:val="ListBullet"/>
        <w:numPr>
          <w:ilvl w:val="0"/>
          <w:numId w:val="10"/>
        </w:numPr>
      </w:pPr>
      <w:r>
        <w:t>监控指标、告警和 Runbook 已补充。</w:t>
      </w:r>
    </w:p>
    <w:p>
      <w:pPr>
        <w:pStyle w:val="ListBullet"/>
        <w:numPr>
          <w:ilvl w:val="0"/>
          <w:numId w:val="10"/>
        </w:numPr>
      </w:pPr>
      <w:r>
        <w:t>兼容性、灰度、回滚和数据修复方案已验证。</w:t>
      </w:r>
    </w:p>
    <w:p>
      <w:pPr>
        <w:pStyle w:val="ListBullet"/>
        <w:numPr>
          <w:ilvl w:val="0"/>
          <w:numId w:val="10"/>
        </w:numPr>
      </w:pPr>
      <w:r>
        <w:t>产品、研发、测试和必要的实施人员完成验收。</w:t>
      </w:r>
    </w:p>
    <w:p>
      <w:pPr>
        <w:pStyle w:val="Heading2"/>
      </w:pPr>
      <w:r>
        <w:t>15.3 禁止上线清单</w:t>
      </w:r>
    </w:p>
    <w:p>
      <w:r>
        <w:t>出现以下任一情况不得上线：</w:t>
      </w:r>
    </w:p>
    <w:p>
      <w:pPr>
        <w:pStyle w:val="ListBullet"/>
        <w:numPr>
          <w:ilvl w:val="0"/>
          <w:numId w:val="10"/>
        </w:numPr>
      </w:pPr>
      <w:r>
        <w:t>存在未接受的严重/高危漏洞或已知租户越权。</w:t>
      </w:r>
    </w:p>
    <w:p>
      <w:pPr>
        <w:pStyle w:val="ListBullet"/>
        <w:numPr>
          <w:ilvl w:val="0"/>
          <w:numId w:val="10"/>
        </w:numPr>
      </w:pPr>
      <w:r>
        <w:t>支付未知状态会触发自动重复扣款。</w:t>
      </w:r>
    </w:p>
    <w:p>
      <w:pPr>
        <w:pStyle w:val="ListBullet"/>
        <w:numPr>
          <w:ilvl w:val="0"/>
          <w:numId w:val="10"/>
        </w:numPr>
      </w:pPr>
      <w:r>
        <w:t>订单、支付或库存没有幂等和故障恢复验证。</w:t>
      </w:r>
    </w:p>
    <w:p>
      <w:pPr>
        <w:pStyle w:val="ListBullet"/>
        <w:numPr>
          <w:ilvl w:val="0"/>
          <w:numId w:val="10"/>
        </w:numPr>
      </w:pPr>
      <w:r>
        <w:t>数据库迁移未在历史版本和生产等量数据上测试。</w:t>
      </w:r>
    </w:p>
    <w:p>
      <w:pPr>
        <w:pStyle w:val="ListBullet"/>
        <w:numPr>
          <w:ilvl w:val="0"/>
          <w:numId w:val="10"/>
        </w:numPr>
      </w:pPr>
      <w:r>
        <w:t>Android 主认证机型未完成打印、扫码、断电和长稳回归。</w:t>
      </w:r>
    </w:p>
    <w:p>
      <w:pPr>
        <w:pStyle w:val="ListBullet"/>
        <w:numPr>
          <w:ilvl w:val="0"/>
          <w:numId w:val="10"/>
        </w:numPr>
      </w:pPr>
      <w:r>
        <w:t>客户端升级无法回滚或会破坏本地交易数据。</w:t>
      </w:r>
    </w:p>
    <w:p>
      <w:pPr>
        <w:pStyle w:val="ListBullet"/>
        <w:numPr>
          <w:ilvl w:val="0"/>
          <w:numId w:val="10"/>
        </w:numPr>
      </w:pPr>
      <w:r>
        <w:t>无监控、无负责人、无故障处理手册的关键能力。</w:t>
      </w:r>
    </w:p>
    <w:p>
      <w:pPr>
        <w:pStyle w:val="Heading1"/>
      </w:pPr>
      <w:r>
        <w:t>十六、技术实施阶段与门禁</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14"/>
        <w:gridCol w:w="1705"/>
        <w:gridCol w:w="3251"/>
        <w:gridCol w:w="2690"/>
      </w:tblGrid>
      <w:tr>
        <w:trPr>
          <w:cantSplit/>
          <w:tblHeader w:val="true"/>
        </w:trPr>
        <w:tc>
          <w:tcPr>
            <w:tcW w:type="dxa" w:w="1714"/>
            <w:vAlign w:val="center"/>
            <w:tcMar>
              <w:top w:w="80" w:type="dxa"/>
              <w:start w:w="120" w:type="dxa"/>
              <w:bottom w:w="80" w:type="dxa"/>
              <w:end w:w="120" w:type="dxa"/>
            </w:tcMar>
            <w:shd w:fill="E8EEF5"/>
          </w:tcPr>
          <w:p>
            <w:pPr>
              <w:spacing w:before="0" w:after="0" w:line="276" w:lineRule="auto"/>
              <w:jc w:val="center"/>
            </w:pPr>
            <w:r>
              <w:rPr>
                <w:rFonts w:ascii="Calibri" w:hAnsi="Calibri" w:eastAsia="等线"/>
                <w:b/>
                <w:color w:val="17365D"/>
                <w:sz w:val="18"/>
              </w:rPr>
              <w:t>阶段</w:t>
            </w:r>
          </w:p>
        </w:tc>
        <w:tc>
          <w:tcPr>
            <w:tcW w:type="dxa" w:w="1705"/>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8"/>
              </w:rPr>
              <w:t>建议周期</w:t>
            </w:r>
          </w:p>
        </w:tc>
        <w:tc>
          <w:tcPr>
            <w:tcW w:type="dxa" w:w="3251"/>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8"/>
              </w:rPr>
              <w:t>核心技术交付</w:t>
            </w:r>
          </w:p>
        </w:tc>
        <w:tc>
          <w:tcPr>
            <w:tcW w:type="dxa" w:w="2690"/>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8"/>
              </w:rPr>
              <w:t>通过门槛</w:t>
            </w:r>
          </w:p>
        </w:tc>
      </w:tr>
      <w:tr>
        <w:trPr>
          <w:cantSplit/>
        </w:trPr>
        <w:tc>
          <w:tcPr>
            <w:tcW w:type="dxa" w:w="1714"/>
            <w:vAlign w:val="center"/>
            <w:tcMar>
              <w:top w:w="80" w:type="dxa"/>
              <w:start w:w="120" w:type="dxa"/>
              <w:bottom w:w="80" w:type="dxa"/>
              <w:end w:w="120" w:type="dxa"/>
            </w:tcMar>
          </w:tcPr>
          <w:p>
            <w:pPr>
              <w:spacing w:before="0" w:after="0" w:line="276" w:lineRule="auto"/>
              <w:jc w:val="center"/>
            </w:pPr>
            <w:r>
              <w:rPr>
                <w:rFonts w:ascii="Calibri" w:hAnsi="Calibri" w:eastAsia="等线"/>
                <w:color w:val="202124"/>
                <w:sz w:val="18"/>
              </w:rPr>
              <w:t>T0 技术基线</w:t>
            </w:r>
          </w:p>
        </w:tc>
        <w:tc>
          <w:tcPr>
            <w:tcW w:type="dxa" w:w="170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2周</w:t>
            </w:r>
          </w:p>
        </w:tc>
        <w:tc>
          <w:tcPr>
            <w:tcW w:type="dxa" w:w="325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固定RuoYi/Flutter版本、仓库结构、CI、ADR、编码模板</w:t>
            </w:r>
          </w:p>
        </w:tc>
        <w:tc>
          <w:tcPr>
            <w:tcW w:type="dxa" w:w="269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可重复构建；依赖和许可证审计完成</w:t>
            </w:r>
          </w:p>
        </w:tc>
      </w:tr>
      <w:tr>
        <w:trPr>
          <w:cantSplit/>
        </w:trPr>
        <w:tc>
          <w:tcPr>
            <w:tcW w:type="dxa" w:w="1714"/>
            <w:vAlign w:val="center"/>
            <w:tcMar>
              <w:top w:w="80" w:type="dxa"/>
              <w:start w:w="120" w:type="dxa"/>
              <w:bottom w:w="80" w:type="dxa"/>
              <w:end w:w="120" w:type="dxa"/>
            </w:tcMar>
            <w:shd w:fill="F7F9FC"/>
          </w:tcPr>
          <w:p>
            <w:pPr>
              <w:spacing w:before="0" w:after="0" w:line="276" w:lineRule="auto"/>
              <w:jc w:val="center"/>
            </w:pPr>
            <w:r>
              <w:rPr>
                <w:rFonts w:ascii="Calibri" w:hAnsi="Calibri" w:eastAsia="等线"/>
                <w:color w:val="202124"/>
                <w:sz w:val="18"/>
              </w:rPr>
              <w:t>T1 风险PoC</w:t>
            </w:r>
          </w:p>
        </w:tc>
        <w:tc>
          <w:tcPr>
            <w:tcW w:type="dxa" w:w="170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8"/>
              </w:rPr>
              <w:t>3至4周</w:t>
            </w:r>
          </w:p>
        </w:tc>
        <w:tc>
          <w:tcPr>
            <w:tcW w:type="dxa" w:w="325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8"/>
              </w:rPr>
              <w:t>Android扫码/打印/称重、SQLite/Outbox、租户隔离、支付沙箱</w:t>
            </w:r>
          </w:p>
        </w:tc>
        <w:tc>
          <w:tcPr>
            <w:tcW w:type="dxa" w:w="269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8"/>
              </w:rPr>
              <w:t>断网断电、重复同步、硬件恢复和越权测试通过</w:t>
            </w:r>
          </w:p>
        </w:tc>
      </w:tr>
      <w:tr>
        <w:trPr>
          <w:cantSplit/>
        </w:trPr>
        <w:tc>
          <w:tcPr>
            <w:tcW w:type="dxa" w:w="1714"/>
            <w:vAlign w:val="center"/>
            <w:tcMar>
              <w:top w:w="80" w:type="dxa"/>
              <w:start w:w="120" w:type="dxa"/>
              <w:bottom w:w="80" w:type="dxa"/>
              <w:end w:w="120" w:type="dxa"/>
            </w:tcMar>
          </w:tcPr>
          <w:p>
            <w:pPr>
              <w:spacing w:before="0" w:after="0" w:line="276" w:lineRule="auto"/>
              <w:jc w:val="center"/>
            </w:pPr>
            <w:r>
              <w:rPr>
                <w:rFonts w:ascii="Calibri" w:hAnsi="Calibri" w:eastAsia="等线"/>
                <w:color w:val="202124"/>
                <w:sz w:val="18"/>
              </w:rPr>
              <w:t>T2 核心Alpha</w:t>
            </w:r>
          </w:p>
        </w:tc>
        <w:tc>
          <w:tcPr>
            <w:tcW w:type="dxa" w:w="170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10至14周</w:t>
            </w:r>
          </w:p>
        </w:tc>
        <w:tc>
          <w:tcPr>
            <w:tcW w:type="dxa" w:w="325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商品、价格、POS、订单、现金/主支付、退款、班次、库存基础</w:t>
            </w:r>
          </w:p>
        </w:tc>
        <w:tc>
          <w:tcPr>
            <w:tcW w:type="dxa" w:w="269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实验室端到端闭环，无架构级阻断</w:t>
            </w:r>
          </w:p>
        </w:tc>
      </w:tr>
      <w:tr>
        <w:trPr>
          <w:cantSplit/>
        </w:trPr>
        <w:tc>
          <w:tcPr>
            <w:tcW w:type="dxa" w:w="1714"/>
            <w:vAlign w:val="center"/>
            <w:tcMar>
              <w:top w:w="80" w:type="dxa"/>
              <w:start w:w="120" w:type="dxa"/>
              <w:bottom w:w="80" w:type="dxa"/>
              <w:end w:w="120" w:type="dxa"/>
            </w:tcMar>
            <w:shd w:fill="F7F9FC"/>
          </w:tcPr>
          <w:p>
            <w:pPr>
              <w:spacing w:before="0" w:after="0" w:line="276" w:lineRule="auto"/>
              <w:jc w:val="center"/>
            </w:pPr>
            <w:r>
              <w:rPr>
                <w:rFonts w:ascii="Calibri" w:hAnsi="Calibri" w:eastAsia="等线"/>
                <w:color w:val="202124"/>
                <w:sz w:val="18"/>
              </w:rPr>
              <w:t>T3 商用加固</w:t>
            </w:r>
          </w:p>
        </w:tc>
        <w:tc>
          <w:tcPr>
            <w:tcW w:type="dxa" w:w="170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8"/>
              </w:rPr>
              <w:t>8至10周</w:t>
            </w:r>
          </w:p>
        </w:tc>
        <w:tc>
          <w:tcPr>
            <w:tcW w:type="dxa" w:w="325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8"/>
              </w:rPr>
              <w:t>监控、灰度、升级回滚、迁移、对账、诊断、硬件认证</w:t>
            </w:r>
          </w:p>
        </w:tc>
        <w:tc>
          <w:tcPr>
            <w:tcW w:type="dxa" w:w="269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8"/>
              </w:rPr>
              <w:t>72小时长稳、故障注入和安全基线通过</w:t>
            </w:r>
          </w:p>
        </w:tc>
      </w:tr>
      <w:tr>
        <w:trPr>
          <w:cantSplit/>
        </w:trPr>
        <w:tc>
          <w:tcPr>
            <w:tcW w:type="dxa" w:w="1714"/>
            <w:vAlign w:val="center"/>
            <w:tcMar>
              <w:top w:w="80" w:type="dxa"/>
              <w:start w:w="120" w:type="dxa"/>
              <w:bottom w:w="80" w:type="dxa"/>
              <w:end w:w="120" w:type="dxa"/>
            </w:tcMar>
          </w:tcPr>
          <w:p>
            <w:pPr>
              <w:spacing w:before="0" w:after="0" w:line="276" w:lineRule="auto"/>
              <w:jc w:val="center"/>
            </w:pPr>
            <w:r>
              <w:rPr>
                <w:rFonts w:ascii="Calibri" w:hAnsi="Calibri" w:eastAsia="等线"/>
                <w:color w:val="202124"/>
                <w:sz w:val="18"/>
              </w:rPr>
              <w:t>T4 设计伙伴</w:t>
            </w:r>
          </w:p>
        </w:tc>
        <w:tc>
          <w:tcPr>
            <w:tcW w:type="dxa" w:w="170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8至12周</w:t>
            </w:r>
          </w:p>
        </w:tc>
        <w:tc>
          <w:tcPr>
            <w:tcW w:type="dxa" w:w="325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3至5家门店影子运行、双轨核对、受控切换</w:t>
            </w:r>
          </w:p>
        </w:tc>
        <w:tc>
          <w:tcPr>
            <w:tcW w:type="dxa" w:w="269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每店稳定运行60天，订单零丢失，支付差异闭环</w:t>
            </w:r>
          </w:p>
        </w:tc>
      </w:tr>
      <w:tr>
        <w:trPr>
          <w:cantSplit/>
        </w:trPr>
        <w:tc>
          <w:tcPr>
            <w:tcW w:type="dxa" w:w="1714"/>
            <w:vAlign w:val="center"/>
            <w:tcMar>
              <w:top w:w="80" w:type="dxa"/>
              <w:start w:w="120" w:type="dxa"/>
              <w:bottom w:w="80" w:type="dxa"/>
              <w:end w:w="120" w:type="dxa"/>
            </w:tcMar>
            <w:shd w:fill="F7F9FC"/>
          </w:tcPr>
          <w:p>
            <w:pPr>
              <w:spacing w:before="0" w:after="0" w:line="276" w:lineRule="auto"/>
              <w:jc w:val="center"/>
            </w:pPr>
            <w:r>
              <w:rPr>
                <w:rFonts w:ascii="Calibri" w:hAnsi="Calibri" w:eastAsia="等线"/>
                <w:color w:val="202124"/>
                <w:sz w:val="18"/>
              </w:rPr>
              <w:t>T5 商业V1</w:t>
            </w:r>
          </w:p>
        </w:tc>
        <w:tc>
          <w:tcPr>
            <w:tcW w:type="dxa" w:w="1705"/>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8"/>
              </w:rPr>
              <w:t>按门禁</w:t>
            </w:r>
          </w:p>
        </w:tc>
        <w:tc>
          <w:tcPr>
            <w:tcW w:type="dxa" w:w="3251"/>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8"/>
              </w:rPr>
              <w:t>标准Android POS、Vue后台、实施包、SLA和认证BOM</w:t>
            </w:r>
          </w:p>
        </w:tc>
        <w:tc>
          <w:tcPr>
            <w:tcW w:type="dxa" w:w="269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8"/>
              </w:rPr>
              <w:t>标准门店可复制交付，服务成本进入目标范围</w:t>
            </w:r>
          </w:p>
        </w:tc>
      </w:tr>
      <w:tr>
        <w:trPr>
          <w:cantSplit/>
        </w:trPr>
        <w:tc>
          <w:tcPr>
            <w:tcW w:type="dxa" w:w="1714"/>
            <w:vAlign w:val="center"/>
            <w:tcMar>
              <w:top w:w="80" w:type="dxa"/>
              <w:start w:w="120" w:type="dxa"/>
              <w:bottom w:w="80" w:type="dxa"/>
              <w:end w:w="120" w:type="dxa"/>
            </w:tcMar>
          </w:tcPr>
          <w:p>
            <w:pPr>
              <w:spacing w:before="0" w:after="0" w:line="276" w:lineRule="auto"/>
              <w:jc w:val="center"/>
            </w:pPr>
            <w:r>
              <w:rPr>
                <w:rFonts w:ascii="Calibri" w:hAnsi="Calibri" w:eastAsia="等线"/>
                <w:color w:val="202124"/>
                <w:sz w:val="18"/>
              </w:rPr>
              <w:t>T6 平台扩展</w:t>
            </w:r>
          </w:p>
        </w:tc>
        <w:tc>
          <w:tcPr>
            <w:tcW w:type="dxa" w:w="1705"/>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商业V1后</w:t>
            </w:r>
          </w:p>
        </w:tc>
        <w:tc>
          <w:tcPr>
            <w:tcW w:type="dxa" w:w="3251"/>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Windows认证、PDA增强、更多连接器和供应链能力</w:t>
            </w:r>
          </w:p>
        </w:tc>
        <w:tc>
          <w:tcPr>
            <w:tcW w:type="dxa" w:w="269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8"/>
              </w:rPr>
              <w:t>每项有付费需求、容量和维护成本依据</w:t>
            </w:r>
          </w:p>
        </w:tc>
      </w:tr>
    </w:tbl>
    <w:p>
      <w:pPr>
        <w:spacing w:before="0" w:after="40"/>
      </w:pPr>
    </w:p>
    <w:p>
      <w:pPr>
        <w:pStyle w:val="Heading2"/>
      </w:pPr>
      <w:r>
        <w:t>16.1 T1 必须验证的硬问题</w:t>
      </w:r>
    </w:p>
    <w:p>
      <w:pPr>
        <w:pStyle w:val="ListNumber"/>
        <w:numPr>
          <w:ilvl w:val="0"/>
          <w:numId w:val="11"/>
        </w:numPr>
      </w:pPr>
      <w:r>
        <w:t>Android 主力硬件厂商 SDK 的打印、扫码、称重、钱箱和升级能力。</w:t>
      </w:r>
    </w:p>
    <w:p>
      <w:pPr>
        <w:pStyle w:val="ListNumber"/>
        <w:numPr>
          <w:ilvl w:val="0"/>
          <w:numId w:val="11"/>
        </w:numPr>
      </w:pPr>
      <w:r>
        <w:t>进程被杀、系统重启、断电后 SQLite 事务和 Outbox 恢复。</w:t>
      </w:r>
    </w:p>
    <w:p>
      <w:pPr>
        <w:pStyle w:val="ListNumber"/>
        <w:numPr>
          <w:ilvl w:val="0"/>
          <w:numId w:val="11"/>
        </w:numPr>
      </w:pPr>
      <w:r>
        <w:t>同一订单重复上传、消息重复投递和回调乱序下的幂等。</w:t>
      </w:r>
    </w:p>
    <w:p>
      <w:pPr>
        <w:pStyle w:val="ListNumber"/>
        <w:numPr>
          <w:ilvl w:val="0"/>
          <w:numId w:val="11"/>
        </w:numPr>
      </w:pPr>
      <w:r>
        <w:t>RuoYi 多租户在 Mapper XML、原生 SQL、后台任务、缓存和导出中的隔离。</w:t>
      </w:r>
    </w:p>
    <w:p>
      <w:pPr>
        <w:pStyle w:val="ListNumber"/>
        <w:numPr>
          <w:ilvl w:val="0"/>
          <w:numId w:val="11"/>
        </w:numPr>
      </w:pPr>
      <w:r>
        <w:t>支付成功但客户端超时、订单提交失败和打印失败的补偿流程。</w:t>
      </w:r>
    </w:p>
    <w:p>
      <w:pPr>
        <w:pStyle w:val="ListNumber"/>
        <w:numPr>
          <w:ilvl w:val="0"/>
          <w:numId w:val="11"/>
        </w:numPr>
      </w:pPr>
      <w:r>
        <w:t>商品/价格数据包的完整性校验、增量下发和原子切换。</w:t>
      </w:r>
    </w:p>
    <w:p>
      <w:pPr>
        <w:pStyle w:val="ListNumber"/>
        <w:numPr>
          <w:ilvl w:val="0"/>
          <w:numId w:val="11"/>
        </w:numPr>
      </w:pPr>
      <w:r>
        <w:t>APK 灰度升级、数据库迁移失败和版本回滚。</w:t>
      </w:r>
    </w:p>
    <w:p>
      <w:pPr>
        <w:pStyle w:val="Heading1"/>
      </w:pPr>
      <w:r>
        <w:t>十七、必须建立的 ADR</w:t>
      </w:r>
    </w:p>
    <w:p>
      <w:r>
        <w:t>正式编码前至少批准以下架构决策记录：</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72"/>
        <w:gridCol w:w="7488"/>
      </w:tblGrid>
      <w:tr>
        <w:trPr>
          <w:cantSplit/>
          <w:tblHeader w:val="true"/>
        </w:trPr>
        <w:tc>
          <w:tcPr>
            <w:tcW w:type="dxa" w:w="1872"/>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ADR</w:t>
            </w:r>
          </w:p>
        </w:tc>
        <w:tc>
          <w:tcPr>
            <w:tcW w:type="dxa" w:w="7488"/>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决策主题</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ADR-001</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采用 RuoYi-Vue-Plus 模块化单体而非 Cloud-Plus</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ADR-002</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Java、Spring Boot、Flutter 和 Android 最低版本基线</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ADR-003</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Android 优先、Windows 认证后发布的终端策略</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ADR-004</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Flutter 状态管理、路由、网络和本地数据库方案</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ADR-005</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ULID、业务单号、时间和金额精度规范</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ADR-006</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租户、组织、加盟商、门店和设备的隔离模型</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ADR-007</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SQLite、本地事务、Outbox、Inbox 和同步冲突规则</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ADR-008</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Android 设备适配接口和厂商插件治理</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ADR-009</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支付适配、未知状态、查询和对账策略</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ADR-010</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数据库迁移、灰度和客户端兼容策略</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ADR-011</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Outbox 到消息队列的引入门槛</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ADR-012</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日志、隐私、诊断包和远程支持边界</w:t>
            </w:r>
          </w:p>
        </w:tc>
      </w:tr>
    </w:tbl>
    <w:p>
      <w:pPr>
        <w:spacing w:before="0" w:after="40"/>
      </w:pPr>
    </w:p>
    <w:p>
      <w:pPr>
        <w:pStyle w:val="Heading1"/>
      </w:pPr>
      <w:r>
        <w:t>十八、配套详细文档</w:t>
      </w:r>
    </w:p>
    <w:p>
      <w:r>
        <w:t>本规范批准后，应按以下顺序完善详细设计：</w:t>
      </w:r>
    </w:p>
    <w:p>
      <w:pPr>
        <w:pStyle w:val="ListNumber"/>
        <w:numPr>
          <w:ilvl w:val="0"/>
          <w:numId w:val="11"/>
        </w:numPr>
      </w:pPr>
      <w:r>
        <w:t>《领域模型与数据库设计说明书》</w:t>
      </w:r>
    </w:p>
    <w:p>
      <w:pPr>
        <w:pStyle w:val="ListNumber"/>
        <w:numPr>
          <w:ilvl w:val="0"/>
          <w:numId w:val="11"/>
        </w:numPr>
      </w:pPr>
      <w:r>
        <w:t>《订单、支付、退款状态机规格》</w:t>
      </w:r>
    </w:p>
    <w:p>
      <w:pPr>
        <w:pStyle w:val="ListNumber"/>
        <w:numPr>
          <w:ilvl w:val="0"/>
          <w:numId w:val="11"/>
        </w:numPr>
      </w:pPr>
      <w:r>
        <w:t>《库存账本、预占与成本核算规格》</w:t>
      </w:r>
    </w:p>
    <w:p>
      <w:pPr>
        <w:pStyle w:val="ListNumber"/>
        <w:numPr>
          <w:ilvl w:val="0"/>
          <w:numId w:val="11"/>
        </w:numPr>
      </w:pPr>
      <w:r>
        <w:t>《促销规则与优惠分摊规格》</w:t>
      </w:r>
    </w:p>
    <w:p>
      <w:pPr>
        <w:pStyle w:val="ListNumber"/>
        <w:numPr>
          <w:ilvl w:val="0"/>
          <w:numId w:val="11"/>
        </w:numPr>
      </w:pPr>
      <w:r>
        <w:t>《POS离线同步协议》</w:t>
      </w:r>
    </w:p>
    <w:p>
      <w:pPr>
        <w:pStyle w:val="ListNumber"/>
        <w:numPr>
          <w:ilvl w:val="0"/>
          <w:numId w:val="11"/>
        </w:numPr>
      </w:pPr>
      <w:r>
        <w:t>《Android设备适配协议与硬件认证手册》</w:t>
      </w:r>
    </w:p>
    <w:p>
      <w:pPr>
        <w:pStyle w:val="ListNumber"/>
        <w:numPr>
          <w:ilvl w:val="0"/>
          <w:numId w:val="11"/>
        </w:numPr>
      </w:pPr>
      <w:r>
        <w:t>《连接器SDK与标准数据契约》</w:t>
      </w:r>
    </w:p>
    <w:p>
      <w:pPr>
        <w:pStyle w:val="ListNumber"/>
        <w:numPr>
          <w:ilvl w:val="0"/>
          <w:numId w:val="11"/>
        </w:numPr>
      </w:pPr>
      <w:r>
        <w:t>《开放平台API与Webhook规范》</w:t>
      </w:r>
    </w:p>
    <w:p>
      <w:pPr>
        <w:pStyle w:val="ListNumber"/>
        <w:numPr>
          <w:ilvl w:val="0"/>
          <w:numId w:val="11"/>
        </w:numPr>
      </w:pPr>
      <w:r>
        <w:t>《安全、隐私、等保与灾备实施方案》</w:t>
      </w:r>
    </w:p>
    <w:p>
      <w:pPr>
        <w:pStyle w:val="ListNumber"/>
        <w:numPr>
          <w:ilvl w:val="0"/>
          <w:numId w:val="11"/>
        </w:numPr>
      </w:pPr>
      <w:r>
        <w:t>《商业V1验收测试计划》</w:t>
      </w:r>
    </w:p>
    <w:p>
      <w:pPr>
        <w:pStyle w:val="Heading1"/>
      </w:pPr>
      <w:r>
        <w:t>十九、参考基线</w:t>
      </w:r>
    </w:p>
    <w:p>
      <w:pPr>
        <w:pStyle w:val="ListBullet"/>
        <w:numPr>
          <w:ilvl w:val="0"/>
          <w:numId w:val="10"/>
        </w:numPr>
      </w:pPr>
      <w:r>
        <w:t>RuoYi-Vue-Plus：https://github.com/dromara/RuoYi-Vue-Plus</w:t>
      </w:r>
    </w:p>
    <w:p>
      <w:pPr>
        <w:pStyle w:val="ListBullet"/>
        <w:numPr>
          <w:ilvl w:val="0"/>
          <w:numId w:val="10"/>
        </w:numPr>
      </w:pPr>
      <w:r>
        <w:t>RuoYi-Vue-Plus 文档：https://plus-doc.dromara.org/</w:t>
      </w:r>
    </w:p>
    <w:p>
      <w:pPr>
        <w:pStyle w:val="ListBullet"/>
        <w:numPr>
          <w:ilvl w:val="0"/>
          <w:numId w:val="10"/>
        </w:numPr>
      </w:pPr>
      <w:r>
        <w:t>Flutter Windows 支持：https://docs.flutter.dev/platform-integration/windows</w:t>
      </w:r>
    </w:p>
    <w:p>
      <w:pPr>
        <w:pStyle w:val="ListBullet"/>
        <w:numPr>
          <w:ilvl w:val="0"/>
          <w:numId w:val="10"/>
        </w:numPr>
      </w:pPr>
      <w:r>
        <w:t>Flutter 平台通道：https://docs.flutter.dev/platform-integration/platform-channels</w:t>
      </w:r>
    </w:p>
    <w:p>
      <w:pPr>
        <w:pStyle w:val="ListBullet"/>
        <w:numPr>
          <w:ilvl w:val="0"/>
          <w:numId w:val="10"/>
        </w:numPr>
      </w:pPr>
      <w:r>
        <w:t>Flutter Android 部署：https://docs.flutter.dev/deployment/android</w:t>
      </w:r>
    </w:p>
    <w:p>
      <w:pPr>
        <w:pStyle w:val="ListBullet"/>
        <w:numPr>
          <w:ilvl w:val="0"/>
          <w:numId w:val="10"/>
        </w:numPr>
      </w:pPr>
      <w:r>
        <w:t>OpenAPI：https://spec.openapis.org/oas/latest.html</w:t>
      </w:r>
    </w:p>
    <w:p>
      <w:pPr>
        <w:pStyle w:val="ListBullet"/>
        <w:numPr>
          <w:ilvl w:val="0"/>
          <w:numId w:val="10"/>
        </w:numPr>
      </w:pPr>
      <w:r>
        <w:t>OpenTelemetry：https://opentelemetry.io/docs/</w:t>
      </w:r>
    </w:p>
    <w:p>
      <w:r>
        <w:t>第三方资料只作为技术参考；最终支持范围以内部固定版本、许可证审查、PoC 和认证结果为准。</w:t>
      </w:r>
    </w:p>
    <w:p>
      <w:pPr>
        <w:pStyle w:val="Heading1"/>
      </w:pPr>
      <w:r>
        <w:t>文档结论</w:t>
      </w:r>
    </w:p>
    <w:p>
      <w:r>
        <w:t>本项目采用“Android 优先、Flutter 统一客户端技术、Windows 条件兼容”的路线是合理的。RuoYi-Vue-Plus 提供 SaaS 管理基础，Flutter 提供终端复用能力，自研领域模块、离线同步、设备契约和硬件认证体系构成真正的商业壁垒。</w:t>
      </w:r>
    </w:p>
    <w:p>
      <w:r>
        <w:t>技术成功标准不是“页面可以收款”，而是订单不丢、支付不重、库存可核、租户不串、断网可营、设备可诊断、版本可回滚、门店可复制实施。</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等线"/>
        <w:color w:val="667085"/>
        <w:sz w:val="17"/>
      </w:rPr>
      <w:t xml:space="preserve">第 </w:t>
    </w:r>
    <w:r>
      <w:rPr>
        <w:rFonts w:ascii="Calibri" w:hAnsi="Calibri" w:eastAsia="等线"/>
        <w:color w:val="667085"/>
        <w:sz w:val="17"/>
      </w:rPr>
      <w:fldChar w:fldCharType="begin"/>
      <w:instrText xml:space="preserve">PAGE</w:instrText>
      <w:fldChar w:fldCharType="separate"/>
      <w:t>1</w:t>
      <w:fldChar w:fldCharType="end"/>
    </w:r>
    <w:r>
      <w:rPr>
        <w:rFonts w:ascii="Calibri" w:hAnsi="Calibri" w:eastAsia="等线"/>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等线"/>
        <w:color w:val="667085"/>
        <w:sz w:val="17"/>
      </w:rPr>
      <w:t>连接器型商业收银经营平台    |    技术架构与开发规范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等线"/>
      <w:b w:val="0"/>
      <w:i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eastAsia="等线"/>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等线"/>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等线"/>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等线"/>
      <w:b w:val="0"/>
      <w:i w:val="0"/>
      <w:color w:val="20212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等线"/>
      <w:b w:val="0"/>
      <w:i w:val="0"/>
      <w:color w:val="20212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eastAsia="等线"/>
      <w:b w:val="0"/>
      <w:bCs/>
      <w:i w:val="0"/>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连接器型商业收银经营平台：技术架构与开发规范 V1.0</dc:title>
  <dc:subject>技术架构、开发规范、质量门禁与终端策略</dc:subject>
  <dc:creator>jshPOS项目组</dc:creator>
  <cp:keywords>POS, Flutter, Android, RuoYi-Vue-Plus, 多租户, 离线同步, 开发规范</cp:keywords>
  <dc:description>技术架构与开发规范版本 V1.0</dc:description>
  <cp:lastModifiedBy/>
  <cp:revision>1</cp:revision>
  <dcterms:created xsi:type="dcterms:W3CDTF">2013-12-23T23:15:00Z</dcterms:created>
  <dcterms:modified xsi:type="dcterms:W3CDTF">2013-12-23T23:15:00Z</dcterms:modified>
  <cp:category/>
</cp:coreProperties>
</file>