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and respectfully alleges and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 is unmarried, and that the Petitioner's present address is {{ petitioner1_address }}.{% if kinship %} That the Petitioner is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a {{ petitioner1_race }} {{ petitioner1_gender }} who was born on the {{ petitioner1_birth_day }} day of {{ petitioner1_birth_month }}, {{ petitioner1_birth_year }}, in {{ petitioner1_birth_state }} and is now {{ petitioner1_age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 desires to adopt {{ child1_name }} and {{ child2_name }} and desires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 obtained placement of the minor children in {{ foster_placement_date }}, and the minors have resided with the Petitioner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 desires to adopt said children as the Petitioner's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 in consideration of the Decree of this Honorable Court allowing the adoption of the above named children by the Petitioner, and in consideration of the consent of the Oklahoma Department of Human Services, does hereby agree to support, maintain, and educate said children during their minority and does agree to treat said children in all respects as the Petitioner's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 has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 knows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 knows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 respectfully prays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 and that the Petitioner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of lawful age, being first duly sworn upon oath states: That the affiant is the Petitioner above named, that affiant has read the foregoing Petition and knows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0"/>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2026-08-22T00:10:01.117Z</dcterms:created>
  <dcterms:modified xsi:type="dcterms:W3CDTF">2026-08-22T00:10:01.117Z</dcterms:modified>
</cp:coreProperties>
</file>

<file path=docProps/custom.xml><?xml version="1.0" encoding="utf-8"?>
<Properties xmlns="http://schemas.openxmlformats.org/officeDocument/2006/custom-properties" xmlns:vt="http://schemas.openxmlformats.org/officeDocument/2006/docPropsVTypes"/>
</file>