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 in that parental rights to the above named children were terminated in this Court.</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That your Petitioners desire to adopt {{ child1_name }} and {{ child2_name }} and desire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Petitioners do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Petitioners obtained placement of the minor children in {{ foster_placement_date }}, and the minors have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children as their own lawful children and desire that the relationship of parent and child be fully established between said Petitioners and said children.</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children by the Petitioners, and in consideration of the consent of the Oklahoma Department of Human Services, do hereby agree to support, maintain, and educate said children during their minority and do agree to treat said children in all respects as their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2026-08-22T00:10:01.280Z</dcterms:created>
  <dcterms:modified xsi:type="dcterms:W3CDTF">2026-08-22T00:10:01.280Z</dcterms:modified>
</cp:coreProperties>
</file>

<file path=docProps/custom.xml><?xml version="1.0" encoding="utf-8"?>
<Properties xmlns="http://schemas.openxmlformats.org/officeDocument/2006/custom-properties" xmlns:vt="http://schemas.openxmlformats.org/officeDocument/2006/docPropsVTypes"/>
</file>