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16278" w14:textId="77777777" w:rsidR="00161F05" w:rsidRDefault="00DB22FD">
      <w:pPr>
        <w:rPr>
          <w:b/>
          <w:bCs/>
          <w:sz w:val="24"/>
          <w:szCs w:val="24"/>
        </w:rPr>
      </w:pPr>
      <w:r>
        <w:rPr>
          <w:b/>
          <w:bCs/>
          <w:sz w:val="24"/>
          <w:szCs w:val="24"/>
        </w:rPr>
        <w:t xml:space="preserve">Suggested </w:t>
      </w:r>
      <w:proofErr w:type="spellStart"/>
      <w:r>
        <w:rPr>
          <w:b/>
          <w:bCs/>
          <w:sz w:val="24"/>
          <w:szCs w:val="24"/>
        </w:rPr>
        <w:t>ToR</w:t>
      </w:r>
      <w:proofErr w:type="spellEnd"/>
      <w:r>
        <w:rPr>
          <w:b/>
          <w:bCs/>
          <w:sz w:val="24"/>
          <w:szCs w:val="24"/>
        </w:rPr>
        <w:t xml:space="preserve"> for an ad hoc contract in support of the EWG on stocks assessments and to improve the assessment of the stock of hake in GSAs 1, 5, 6 and </w:t>
      </w:r>
      <w:proofErr w:type="gramStart"/>
      <w:r>
        <w:rPr>
          <w:b/>
          <w:bCs/>
          <w:sz w:val="24"/>
          <w:szCs w:val="24"/>
        </w:rPr>
        <w:t>7.(</w:t>
      </w:r>
      <w:proofErr w:type="gramEnd"/>
      <w:r>
        <w:rPr>
          <w:b/>
          <w:bCs/>
          <w:sz w:val="24"/>
          <w:szCs w:val="24"/>
        </w:rPr>
        <w:t>for discussion).</w:t>
      </w:r>
    </w:p>
    <w:p w14:paraId="74CB5C40" w14:textId="77777777" w:rsidR="00161F05" w:rsidRDefault="00DB22FD">
      <w:pPr>
        <w:rPr>
          <w:sz w:val="24"/>
          <w:szCs w:val="24"/>
        </w:rPr>
      </w:pPr>
      <w:r>
        <w:rPr>
          <w:sz w:val="24"/>
          <w:szCs w:val="24"/>
        </w:rPr>
        <w:t xml:space="preserve">Ad hoc contract (suggest 7 days) – follow up on EWG2501, EWG2506 and PLEN2502 </w:t>
      </w:r>
    </w:p>
    <w:p w14:paraId="389EE81B" w14:textId="77777777" w:rsidR="00161F05" w:rsidRDefault="00DB22FD">
      <w:pPr>
        <w:rPr>
          <w:sz w:val="24"/>
          <w:szCs w:val="24"/>
        </w:rPr>
      </w:pPr>
      <w:proofErr w:type="spellStart"/>
      <w:r>
        <w:rPr>
          <w:sz w:val="24"/>
          <w:szCs w:val="24"/>
        </w:rPr>
        <w:t>ToRs</w:t>
      </w:r>
      <w:proofErr w:type="spellEnd"/>
      <w:r>
        <w:rPr>
          <w:sz w:val="24"/>
          <w:szCs w:val="24"/>
        </w:rPr>
        <w:t>:</w:t>
      </w:r>
    </w:p>
    <w:p w14:paraId="433B1A2B" w14:textId="77777777" w:rsidR="00161F05" w:rsidRDefault="00DB22FD">
      <w:pPr>
        <w:pStyle w:val="ListParagraph"/>
        <w:numPr>
          <w:ilvl w:val="0"/>
          <w:numId w:val="1"/>
        </w:numPr>
        <w:rPr>
          <w:sz w:val="24"/>
          <w:szCs w:val="24"/>
        </w:rPr>
      </w:pPr>
      <w:r>
        <w:rPr>
          <w:sz w:val="24"/>
          <w:szCs w:val="24"/>
        </w:rPr>
        <w:t xml:space="preserve">Create the </w:t>
      </w:r>
      <w:proofErr w:type="spellStart"/>
      <w:r>
        <w:rPr>
          <w:sz w:val="24"/>
          <w:szCs w:val="24"/>
        </w:rPr>
        <w:t>FLStock</w:t>
      </w:r>
      <w:proofErr w:type="spellEnd"/>
      <w:r>
        <w:rPr>
          <w:sz w:val="24"/>
          <w:szCs w:val="24"/>
        </w:rPr>
        <w:t xml:space="preserve"> and </w:t>
      </w:r>
      <w:proofErr w:type="spellStart"/>
      <w:r>
        <w:rPr>
          <w:sz w:val="24"/>
          <w:szCs w:val="24"/>
        </w:rPr>
        <w:t>FLIndex</w:t>
      </w:r>
      <w:proofErr w:type="spellEnd"/>
      <w:r>
        <w:rPr>
          <w:sz w:val="24"/>
          <w:szCs w:val="24"/>
        </w:rPr>
        <w:t xml:space="preserve"> for the assessment, using the data held by the JRC, submitted through the EU Mediterranean and Black Sea data call.</w:t>
      </w:r>
    </w:p>
    <w:p w14:paraId="4D67AC9A" w14:textId="77777777" w:rsidR="00161F05" w:rsidRDefault="00DB22FD">
      <w:pPr>
        <w:pStyle w:val="ListParagraph"/>
        <w:numPr>
          <w:ilvl w:val="0"/>
          <w:numId w:val="1"/>
        </w:numPr>
        <w:rPr>
          <w:sz w:val="24"/>
          <w:szCs w:val="24"/>
        </w:rPr>
      </w:pPr>
      <w:commentRangeStart w:id="0"/>
      <w:r>
        <w:rPr>
          <w:sz w:val="24"/>
          <w:szCs w:val="24"/>
        </w:rPr>
        <w:t>Convert length-based input data for stock assessment (commercial catches and MEDITS abundance indices) into age-based data using the stochastic slicing method commonly applied by the EWG. The slicing should be performed quarterly, applying the combined growth model as defined in EWG2506.</w:t>
      </w:r>
      <w:commentRangeEnd w:id="0"/>
      <w:r>
        <w:commentReference w:id="0"/>
      </w:r>
    </w:p>
    <w:p w14:paraId="704F5B1F" w14:textId="77777777" w:rsidR="00161F05" w:rsidRDefault="00DB22FD">
      <w:pPr>
        <w:pStyle w:val="ListParagraph"/>
        <w:numPr>
          <w:ilvl w:val="1"/>
          <w:numId w:val="1"/>
        </w:numPr>
        <w:rPr>
          <w:sz w:val="24"/>
          <w:szCs w:val="24"/>
        </w:rPr>
      </w:pPr>
      <w:r>
        <w:rPr>
          <w:sz w:val="24"/>
          <w:szCs w:val="24"/>
        </w:rPr>
        <w:t xml:space="preserve">Output: </w:t>
      </w:r>
      <w:proofErr w:type="spellStart"/>
      <w:r>
        <w:rPr>
          <w:sz w:val="24"/>
          <w:szCs w:val="24"/>
        </w:rPr>
        <w:t>FLStock</w:t>
      </w:r>
      <w:proofErr w:type="spellEnd"/>
      <w:r>
        <w:rPr>
          <w:sz w:val="24"/>
          <w:szCs w:val="24"/>
        </w:rPr>
        <w:t xml:space="preserve"> and </w:t>
      </w:r>
      <w:proofErr w:type="spellStart"/>
      <w:r>
        <w:rPr>
          <w:sz w:val="24"/>
          <w:szCs w:val="24"/>
        </w:rPr>
        <w:t>FLIndex</w:t>
      </w:r>
      <w:proofErr w:type="spellEnd"/>
      <w:r>
        <w:rPr>
          <w:sz w:val="24"/>
          <w:szCs w:val="24"/>
        </w:rPr>
        <w:t xml:space="preserve"> objects ready for use in the statistical catch-at-age model implemented by a4a.</w:t>
      </w:r>
    </w:p>
    <w:p w14:paraId="2F67A149" w14:textId="77777777" w:rsidR="00161F05" w:rsidRDefault="00DB22FD">
      <w:pPr>
        <w:pStyle w:val="ListParagraph"/>
        <w:numPr>
          <w:ilvl w:val="0"/>
          <w:numId w:val="1"/>
        </w:numPr>
        <w:rPr>
          <w:sz w:val="24"/>
          <w:szCs w:val="24"/>
        </w:rPr>
      </w:pPr>
      <w:r>
        <w:rPr>
          <w:sz w:val="24"/>
          <w:szCs w:val="24"/>
        </w:rPr>
        <w:t xml:space="preserve">Improve the a4a model proposed in EWG2506 (run 3.2 with </w:t>
      </w:r>
      <w:proofErr w:type="spellStart"/>
      <w:r>
        <w:rPr>
          <w:sz w:val="24"/>
          <w:szCs w:val="24"/>
        </w:rPr>
        <w:t>fmodel</w:t>
      </w:r>
      <w:proofErr w:type="spellEnd"/>
      <w:r>
        <w:rPr>
          <w:sz w:val="24"/>
          <w:szCs w:val="24"/>
        </w:rPr>
        <w:t xml:space="preserve"> tensor to increase flexibility in capturing changes in the selection pattern) and provide </w:t>
      </w:r>
      <w:proofErr w:type="gramStart"/>
      <w:r>
        <w:rPr>
          <w:sz w:val="24"/>
          <w:szCs w:val="24"/>
        </w:rPr>
        <w:t>associated  diagnostics</w:t>
      </w:r>
      <w:proofErr w:type="gramEnd"/>
      <w:r>
        <w:rPr>
          <w:sz w:val="24"/>
          <w:szCs w:val="24"/>
        </w:rPr>
        <w:t xml:space="preserve">. In particular, the impact of different levels of smoothness in the </w:t>
      </w:r>
      <w:proofErr w:type="spellStart"/>
      <w:r>
        <w:rPr>
          <w:sz w:val="24"/>
          <w:szCs w:val="24"/>
        </w:rPr>
        <w:t>fmodel</w:t>
      </w:r>
      <w:proofErr w:type="spellEnd"/>
      <w:r>
        <w:rPr>
          <w:sz w:val="24"/>
          <w:szCs w:val="24"/>
        </w:rPr>
        <w:t xml:space="preserve"> should be evaluated by running a grid of options with varying k values. Assess whether any other </w:t>
      </w:r>
      <w:proofErr w:type="spellStart"/>
      <w:r>
        <w:rPr>
          <w:sz w:val="24"/>
          <w:szCs w:val="24"/>
        </w:rPr>
        <w:t>submodels</w:t>
      </w:r>
      <w:proofErr w:type="spellEnd"/>
      <w:r>
        <w:rPr>
          <w:sz w:val="24"/>
          <w:szCs w:val="24"/>
        </w:rPr>
        <w:t xml:space="preserve"> beyond the </w:t>
      </w:r>
      <w:proofErr w:type="spellStart"/>
      <w:r>
        <w:rPr>
          <w:sz w:val="24"/>
          <w:szCs w:val="24"/>
        </w:rPr>
        <w:t>fmodel</w:t>
      </w:r>
      <w:proofErr w:type="spellEnd"/>
      <w:r>
        <w:rPr>
          <w:sz w:val="24"/>
          <w:szCs w:val="24"/>
        </w:rPr>
        <w:t xml:space="preserve"> require modifications.</w:t>
      </w:r>
    </w:p>
    <w:p w14:paraId="35A32C16" w14:textId="77777777" w:rsidR="00161F05" w:rsidRDefault="00DB22FD">
      <w:pPr>
        <w:pStyle w:val="ListParagraph"/>
        <w:numPr>
          <w:ilvl w:val="1"/>
          <w:numId w:val="1"/>
        </w:numPr>
        <w:rPr>
          <w:sz w:val="24"/>
          <w:szCs w:val="24"/>
        </w:rPr>
      </w:pPr>
      <w:r>
        <w:rPr>
          <w:sz w:val="24"/>
          <w:szCs w:val="24"/>
        </w:rPr>
        <w:t>Output:</w:t>
      </w:r>
      <w:r>
        <w:rPr>
          <w:sz w:val="24"/>
          <w:szCs w:val="24"/>
        </w:rPr>
        <w:t xml:space="preserve"> updated </w:t>
      </w:r>
      <w:proofErr w:type="spellStart"/>
      <w:r>
        <w:rPr>
          <w:sz w:val="24"/>
          <w:szCs w:val="24"/>
        </w:rPr>
        <w:t>submodels</w:t>
      </w:r>
      <w:proofErr w:type="spellEnd"/>
      <w:r>
        <w:rPr>
          <w:sz w:val="24"/>
          <w:szCs w:val="24"/>
        </w:rPr>
        <w:t>, fitted object, diagnostics and grid results.</w:t>
      </w:r>
    </w:p>
    <w:p w14:paraId="4FDF152B" w14:textId="77777777" w:rsidR="00161F05" w:rsidRDefault="00DB22FD">
      <w:pPr>
        <w:pStyle w:val="ListParagraph"/>
        <w:numPr>
          <w:ilvl w:val="0"/>
          <w:numId w:val="1"/>
        </w:numPr>
        <w:rPr>
          <w:sz w:val="24"/>
          <w:szCs w:val="24"/>
        </w:rPr>
      </w:pPr>
      <w:r>
        <w:rPr>
          <w:sz w:val="24"/>
          <w:szCs w:val="24"/>
        </w:rPr>
        <w:t>Run the model selected based on the outcomes of item 2 using the age-based data produced in item 1.</w:t>
      </w:r>
    </w:p>
    <w:p w14:paraId="3C3BEFE8" w14:textId="77777777" w:rsidR="00161F05" w:rsidRDefault="00DB22FD">
      <w:pPr>
        <w:pStyle w:val="ListParagraph"/>
        <w:numPr>
          <w:ilvl w:val="1"/>
          <w:numId w:val="1"/>
        </w:numPr>
        <w:rPr>
          <w:sz w:val="24"/>
          <w:szCs w:val="24"/>
        </w:rPr>
      </w:pPr>
      <w:r>
        <w:rPr>
          <w:sz w:val="24"/>
          <w:szCs w:val="24"/>
        </w:rPr>
        <w:t>Output: fitted model and diagnostics.</w:t>
      </w:r>
    </w:p>
    <w:p w14:paraId="626F7697" w14:textId="77777777" w:rsidR="00161F05" w:rsidRDefault="00161F05"/>
    <w:sectPr w:rsidR="00161F05">
      <w:pgSz w:w="11906" w:h="16838"/>
      <w:pgMar w:top="1134" w:right="850" w:bottom="1134" w:left="1701" w:header="709" w:footer="709"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olin74" w:date="2025-07-10T07:17:00Z" w:initials="B">
    <w:p w14:paraId="00000001" w14:textId="00000001" w:rsidR="00161F05" w:rsidRDefault="00DB22FD">
      <w:pPr>
        <w:spacing w:after="0" w:line="240" w:lineRule="auto"/>
      </w:pPr>
      <w:r>
        <w:rPr>
          <w:rFonts w:ascii="Arial" w:eastAsia="Arial" w:hAnsi="Arial" w:cs="Arial"/>
        </w:rPr>
        <w:t>Will the LFD to be used be provided by JRC, or will it need to be extracted from the datasets? Will it be necessary to reconstruct missing LFDs (quarter gear levels)? If so, are there any indications as to how this should be done and on what basis?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00000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3B8FF10" w16cex:dateUtc="2025-07-10T0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000001" w16cid:durableId="03B8FF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5602DC" w14:textId="77777777" w:rsidR="00161F05" w:rsidRDefault="00DB22FD">
      <w:pPr>
        <w:spacing w:after="0" w:line="240" w:lineRule="auto"/>
      </w:pPr>
      <w:r>
        <w:separator/>
      </w:r>
    </w:p>
  </w:endnote>
  <w:endnote w:type="continuationSeparator" w:id="0">
    <w:p w14:paraId="78B87E92" w14:textId="77777777" w:rsidR="00161F05" w:rsidRDefault="00DB2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9B5E7C" w14:textId="77777777" w:rsidR="00161F05" w:rsidRDefault="00DB22FD">
      <w:pPr>
        <w:spacing w:after="0" w:line="240" w:lineRule="auto"/>
      </w:pPr>
      <w:r>
        <w:separator/>
      </w:r>
    </w:p>
  </w:footnote>
  <w:footnote w:type="continuationSeparator" w:id="0">
    <w:p w14:paraId="7384A25F" w14:textId="77777777" w:rsidR="00161F05" w:rsidRDefault="00DB22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306750"/>
    <w:multiLevelType w:val="multilevel"/>
    <w:tmpl w:val="7AEC2872"/>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1" w15:restartNumberingAfterBreak="0">
    <w:nsid w:val="1A5737D7"/>
    <w:multiLevelType w:val="multilevel"/>
    <w:tmpl w:val="D4D2132A"/>
    <w:lvl w:ilvl="0">
      <w:start w:val="1"/>
      <w:numFmt w:val="decimal"/>
      <w:lvlText w:val="%1."/>
      <w:lvlJc w:val="right"/>
      <w:pPr>
        <w:ind w:left="709" w:hanging="360"/>
      </w:p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2" w15:restartNumberingAfterBreak="0">
    <w:nsid w:val="2906102E"/>
    <w:multiLevelType w:val="multilevel"/>
    <w:tmpl w:val="AC920E50"/>
    <w:lvl w:ilvl="0">
      <w:start w:val="1"/>
      <w:numFmt w:val="decimal"/>
      <w:lvlText w:val="%1."/>
      <w:lvlJc w:val="right"/>
      <w:pPr>
        <w:ind w:left="709" w:hanging="360"/>
      </w:p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3" w15:restartNumberingAfterBreak="0">
    <w:nsid w:val="33852EF0"/>
    <w:multiLevelType w:val="multilevel"/>
    <w:tmpl w:val="C24ED1C8"/>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4" w15:restartNumberingAfterBreak="0">
    <w:nsid w:val="3AE81E97"/>
    <w:multiLevelType w:val="multilevel"/>
    <w:tmpl w:val="9B521C92"/>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5" w15:restartNumberingAfterBreak="0">
    <w:nsid w:val="3DE70597"/>
    <w:multiLevelType w:val="multilevel"/>
    <w:tmpl w:val="3860136C"/>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6" w15:restartNumberingAfterBreak="0">
    <w:nsid w:val="41CB5540"/>
    <w:multiLevelType w:val="multilevel"/>
    <w:tmpl w:val="9AE24AF6"/>
    <w:lvl w:ilvl="0">
      <w:start w:val="1"/>
      <w:numFmt w:val="decimal"/>
      <w:lvlText w:val="%1."/>
      <w:lvlJc w:val="right"/>
      <w:pPr>
        <w:ind w:left="709" w:hanging="360"/>
      </w:p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7" w15:restartNumberingAfterBreak="0">
    <w:nsid w:val="45B20830"/>
    <w:multiLevelType w:val="multilevel"/>
    <w:tmpl w:val="A0CAE538"/>
    <w:lvl w:ilvl="0">
      <w:start w:val="1"/>
      <w:numFmt w:val="decimal"/>
      <w:lvlText w:val="%1."/>
      <w:lvlJc w:val="right"/>
      <w:pPr>
        <w:ind w:left="709" w:hanging="360"/>
      </w:p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8" w15:restartNumberingAfterBreak="0">
    <w:nsid w:val="4B891476"/>
    <w:multiLevelType w:val="multilevel"/>
    <w:tmpl w:val="612C449A"/>
    <w:lvl w:ilvl="0">
      <w:start w:val="1"/>
      <w:numFmt w:val="decimal"/>
      <w:lvlText w:val="%1."/>
      <w:lvlJc w:val="right"/>
      <w:pPr>
        <w:ind w:left="709" w:hanging="360"/>
      </w:p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9" w15:restartNumberingAfterBreak="0">
    <w:nsid w:val="5DC62D60"/>
    <w:multiLevelType w:val="multilevel"/>
    <w:tmpl w:val="EEF82F0C"/>
    <w:lvl w:ilvl="0">
      <w:start w:val="1"/>
      <w:numFmt w:val="decimal"/>
      <w:lvlText w:val="%1."/>
      <w:lvlJc w:val="right"/>
      <w:pPr>
        <w:ind w:left="709" w:hanging="360"/>
      </w:p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10" w15:restartNumberingAfterBreak="0">
    <w:nsid w:val="63EA5F77"/>
    <w:multiLevelType w:val="multilevel"/>
    <w:tmpl w:val="64EC0C90"/>
    <w:lvl w:ilvl="0">
      <w:start w:val="1"/>
      <w:numFmt w:val="decimal"/>
      <w:lvlText w:val="%1."/>
      <w:lvlJc w:val="right"/>
      <w:pPr>
        <w:ind w:left="709" w:hanging="360"/>
      </w:p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11" w15:restartNumberingAfterBreak="0">
    <w:nsid w:val="6C73384C"/>
    <w:multiLevelType w:val="multilevel"/>
    <w:tmpl w:val="133430C8"/>
    <w:lvl w:ilvl="0">
      <w:start w:val="1"/>
      <w:numFmt w:val="decimal"/>
      <w:lvlText w:val="%1."/>
      <w:lvlJc w:val="right"/>
      <w:pPr>
        <w:ind w:left="709" w:hanging="360"/>
      </w:p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12" w15:restartNumberingAfterBreak="0">
    <w:nsid w:val="7BC75CDE"/>
    <w:multiLevelType w:val="multilevel"/>
    <w:tmpl w:val="D26E68FC"/>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num w:numId="1" w16cid:durableId="283779839">
    <w:abstractNumId w:val="3"/>
  </w:num>
  <w:num w:numId="2" w16cid:durableId="1602490532">
    <w:abstractNumId w:val="5"/>
  </w:num>
  <w:num w:numId="3" w16cid:durableId="121853557">
    <w:abstractNumId w:val="12"/>
  </w:num>
  <w:num w:numId="4" w16cid:durableId="538204825">
    <w:abstractNumId w:val="9"/>
  </w:num>
  <w:num w:numId="5" w16cid:durableId="1047022397">
    <w:abstractNumId w:val="11"/>
  </w:num>
  <w:num w:numId="6" w16cid:durableId="2030981135">
    <w:abstractNumId w:val="7"/>
  </w:num>
  <w:num w:numId="7" w16cid:durableId="1412391891">
    <w:abstractNumId w:val="10"/>
  </w:num>
  <w:num w:numId="8" w16cid:durableId="1612468374">
    <w:abstractNumId w:val="2"/>
  </w:num>
  <w:num w:numId="9" w16cid:durableId="423697148">
    <w:abstractNumId w:val="6"/>
  </w:num>
  <w:num w:numId="10" w16cid:durableId="1863781165">
    <w:abstractNumId w:val="1"/>
  </w:num>
  <w:num w:numId="11" w16cid:durableId="362950200">
    <w:abstractNumId w:val="8"/>
  </w:num>
  <w:num w:numId="12" w16cid:durableId="653995961">
    <w:abstractNumId w:val="4"/>
  </w:num>
  <w:num w:numId="13" w16cid:durableId="1509753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F05"/>
    <w:rsid w:val="00161F05"/>
    <w:rsid w:val="0075080B"/>
    <w:rsid w:val="00DB2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D19FEC-79DC-4B2E-A93D-CC78B0A9D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ascii="Arial" w:eastAsia="Arial" w:hAnsi="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n-IE" w:eastAsia="en-I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n-IE" w:eastAsia="en-IE"/>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n-IE" w:eastAsia="en-I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n-IE" w:eastAsia="en-I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n-IE" w:eastAsia="en-I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n-IE" w:eastAsia="en-IE"/>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n-IE" w:eastAsia="en-I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n-IE" w:eastAsia="en-I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n-IE" w:eastAsia="en-IE"/>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n-IE" w:eastAsia="en-I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n-IE" w:eastAsia="en-I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n-IE" w:eastAsia="en-I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n-IE" w:eastAsia="en-IE"/>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n-IE" w:eastAsia="en-I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DefaultParagraphFont"/>
    <w:link w:val="Heading1"/>
    <w:uiPriority w:val="9"/>
    <w:rPr>
      <w:rFonts w:ascii="Arial" w:eastAsia="Arial" w:hAnsi="Arial" w:cs="Arial"/>
      <w:color w:val="2E74B5" w:themeColor="accent1" w:themeShade="BF"/>
      <w:sz w:val="40"/>
      <w:szCs w:val="40"/>
    </w:rPr>
  </w:style>
  <w:style w:type="character" w:customStyle="1" w:styleId="Heading2Char">
    <w:name w:val="Heading 2 Char"/>
    <w:basedOn w:val="DefaultParagraphFont"/>
    <w:link w:val="Heading2"/>
    <w:uiPriority w:val="9"/>
    <w:rPr>
      <w:rFonts w:ascii="Arial" w:eastAsia="Arial" w:hAnsi="Arial" w:cs="Arial"/>
      <w:color w:val="2E74B5" w:themeColor="accent1" w:themeShade="BF"/>
      <w:sz w:val="32"/>
      <w:szCs w:val="32"/>
    </w:rPr>
  </w:style>
  <w:style w:type="character" w:customStyle="1" w:styleId="Heading3Char">
    <w:name w:val="Heading 3 Char"/>
    <w:basedOn w:val="DefaultParagraphFont"/>
    <w:link w:val="Heading3"/>
    <w:uiPriority w:val="9"/>
    <w:rPr>
      <w:rFonts w:ascii="Arial" w:eastAsia="Arial" w:hAnsi="Arial" w:cs="Arial"/>
      <w:color w:val="2E74B5" w:themeColor="accent1" w:themeShade="BF"/>
      <w:sz w:val="28"/>
      <w:szCs w:val="28"/>
    </w:rPr>
  </w:style>
  <w:style w:type="character" w:customStyle="1" w:styleId="Heading4Char">
    <w:name w:val="Heading 4 Char"/>
    <w:basedOn w:val="DefaultParagraphFont"/>
    <w:link w:val="Heading4"/>
    <w:uiPriority w:val="9"/>
    <w:rPr>
      <w:rFonts w:ascii="Arial" w:eastAsia="Arial" w:hAnsi="Arial" w:cs="Arial"/>
      <w:i/>
      <w:iCs/>
      <w:color w:val="2E74B5" w:themeColor="accent1" w:themeShade="BF"/>
    </w:rPr>
  </w:style>
  <w:style w:type="character" w:customStyle="1" w:styleId="Heading5Char">
    <w:name w:val="Heading 5 Char"/>
    <w:basedOn w:val="DefaultParagraphFont"/>
    <w:link w:val="Heading5"/>
    <w:uiPriority w:val="9"/>
    <w:rPr>
      <w:rFonts w:ascii="Arial" w:eastAsia="Arial" w:hAnsi="Arial" w:cs="Arial"/>
      <w:color w:val="2E74B5"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Arial" w:eastAsia="Arial" w:hAnsi="Arial" w:cs="Arial"/>
      <w:spacing w:val="-10"/>
      <w:sz w:val="56"/>
      <w:szCs w:val="56"/>
    </w:rPr>
  </w:style>
  <w:style w:type="character" w:customStyle="1" w:styleId="TitleChar">
    <w:name w:val="Title Char"/>
    <w:basedOn w:val="DefaultParagraphFont"/>
    <w:link w:val="Title"/>
    <w:uiPriority w:val="10"/>
    <w:rPr>
      <w:rFonts w:ascii="Arial" w:eastAsia="Arial" w:hAnsi="Arial" w:cs="Arial"/>
      <w:spacing w:val="-10"/>
      <w:sz w:val="56"/>
      <w:szCs w:val="56"/>
    </w:rPr>
  </w:style>
  <w:style w:type="paragraph" w:styleId="Subtitle">
    <w:name w:val="Subtitle"/>
    <w:basedOn w:val="Normal"/>
    <w:next w:val="Normal"/>
    <w:link w:val="SubtitleChar"/>
    <w:uiPriority w:val="11"/>
    <w:qFormat/>
    <w:pPr>
      <w:numPr>
        <w:ilvl w:val="1"/>
      </w:numPr>
    </w:pPr>
    <w:rPr>
      <w:color w:val="595959" w:themeColor="text1" w:themeTint="A6"/>
      <w:spacing w:val="15"/>
      <w:sz w:val="28"/>
      <w:szCs w:val="28"/>
    </w:rPr>
  </w:style>
  <w:style w:type="character" w:customStyle="1" w:styleId="SubtitleChar">
    <w:name w:val="Subtitle Char"/>
    <w:basedOn w:val="DefaultParagraphFont"/>
    <w:link w:val="Subtitle"/>
    <w:uiPriority w:val="11"/>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character" w:styleId="IntenseEmphasis">
    <w:name w:val="Intense Emphasis"/>
    <w:basedOn w:val="DefaultParagraphFont"/>
    <w:uiPriority w:val="21"/>
    <w:qFormat/>
    <w:rPr>
      <w:i/>
      <w:iCs/>
      <w:color w:val="2E74B5" w:themeColor="accent1" w:themeShade="BF"/>
    </w:rPr>
  </w:style>
  <w:style w:type="paragraph" w:styleId="IntenseQuote">
    <w:name w:val="Intense Quote"/>
    <w:basedOn w:val="Normal"/>
    <w:next w:val="Normal"/>
    <w:link w:val="IntenseQuoteCh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Pr>
      <w:i/>
      <w:iCs/>
      <w:color w:val="2E74B5" w:themeColor="accent1" w:themeShade="BF"/>
    </w:rPr>
  </w:style>
  <w:style w:type="character" w:styleId="IntenseReference">
    <w:name w:val="Intense Reference"/>
    <w:basedOn w:val="DefaultParagraphFont"/>
    <w:uiPriority w:val="32"/>
    <w:qFormat/>
    <w:rPr>
      <w:b/>
      <w:bCs/>
      <w:smallCaps/>
      <w:color w:val="2E74B5"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Header">
    <w:name w:val="header"/>
    <w:basedOn w:val="Normal"/>
    <w:link w:val="HeaderChar"/>
    <w:uiPriority w:val="99"/>
    <w:unhideWhenUsed/>
    <w:pPr>
      <w:tabs>
        <w:tab w:val="center" w:pos="4844"/>
        <w:tab w:val="right" w:pos="9689"/>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844"/>
        <w:tab w:val="right" w:pos="9689"/>
      </w:tabs>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230</Words>
  <Characters>1199</Characters>
  <Application>Microsoft Office Word</Application>
  <DocSecurity>4</DocSecurity>
  <Lines>23</Lines>
  <Paragraphs>10</Paragraphs>
  <ScaleCrop>false</ScaleCrop>
  <Company>European Commission</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OSIO Giacomo Chato (MARE)</dc:creator>
  <cp:lastModifiedBy>OSIO Giacomo Chato (MARE)</cp:lastModifiedBy>
  <cp:revision>2</cp:revision>
  <dcterms:created xsi:type="dcterms:W3CDTF">2025-07-18T07:33:00Z</dcterms:created>
  <dcterms:modified xsi:type="dcterms:W3CDTF">2025-07-18T07:33:00Z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d9ddd1-4d20-43f6-abfa-fc3c07406f94_Enabled">
    <vt:lpwstr>true</vt:lpwstr>
  </property>
  <property fmtid="{D5CDD505-2E9C-101B-9397-08002B2CF9AE}" pid="3" name="MSIP_Label_6bd9ddd1-4d20-43f6-abfa-fc3c07406f94_SetDate">
    <vt:lpwstr>2025-07-18T07:33:27Z</vt:lpwstr>
  </property>
  <property fmtid="{D5CDD505-2E9C-101B-9397-08002B2CF9AE}" pid="4" name="MSIP_Label_6bd9ddd1-4d20-43f6-abfa-fc3c07406f94_Method">
    <vt:lpwstr>Standard</vt:lpwstr>
  </property>
  <property fmtid="{D5CDD505-2E9C-101B-9397-08002B2CF9AE}" pid="5" name="MSIP_Label_6bd9ddd1-4d20-43f6-abfa-fc3c07406f94_Name">
    <vt:lpwstr>Commission Use</vt:lpwstr>
  </property>
  <property fmtid="{D5CDD505-2E9C-101B-9397-08002B2CF9AE}" pid="6" name="MSIP_Label_6bd9ddd1-4d20-43f6-abfa-fc3c07406f94_SiteId">
    <vt:lpwstr>b24c8b06-522c-46fe-9080-70926f8dddb1</vt:lpwstr>
  </property>
  <property fmtid="{D5CDD505-2E9C-101B-9397-08002B2CF9AE}" pid="7" name="MSIP_Label_6bd9ddd1-4d20-43f6-abfa-fc3c07406f94_ActionId">
    <vt:lpwstr>7d5ddc1f-b431-45d2-a4e3-9cec1a052f69</vt:lpwstr>
  </property>
  <property fmtid="{D5CDD505-2E9C-101B-9397-08002B2CF9AE}" pid="8" name="MSIP_Label_6bd9ddd1-4d20-43f6-abfa-fc3c07406f94_ContentBits">
    <vt:lpwstr>0</vt:lpwstr>
  </property>
  <property fmtid="{D5CDD505-2E9C-101B-9397-08002B2CF9AE}" pid="9" name="MSIP_Label_6bd9ddd1-4d20-43f6-abfa-fc3c07406f94_Tag">
    <vt:lpwstr>10, 3, 0, 1</vt:lpwstr>
  </property>
</Properties>
</file>