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3"/>
        <w:pBdr/>
        <w:spacing/>
        <w:ind/>
        <w:rPr>
          <w:color w:val="ff0000"/>
          <w:sz w:val="32"/>
          <w:szCs w:val="32"/>
          <w:highlight w:val="none"/>
        </w:rPr>
      </w:pPr>
      <w:r>
        <w:rPr>
          <w:color w:val="ff0000"/>
          <w:sz w:val="32"/>
          <w:szCs w:val="32"/>
          <w:highlight w:val="none"/>
        </w:rPr>
        <w:t xml:space="preserve">Folder structure and naming convention for assessment workflow</w:t>
      </w:r>
      <w:r>
        <w:rPr>
          <w:color w:val="ff0000"/>
          <w:sz w:val="32"/>
          <w:szCs w:val="32"/>
          <w:highlight w:val="none"/>
        </w:rPr>
      </w:r>
    </w:p>
    <w:p>
      <w:pPr>
        <w:pStyle w:val="663"/>
        <w:pBdr/>
        <w:spacing/>
        <w:ind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  <w:r>
        <w:rPr>
          <w:color w:val="000000" w:themeColor="text1"/>
          <w:sz w:val="32"/>
          <w:szCs w:val="32"/>
        </w:rPr>
      </w:r>
    </w:p>
    <w:p>
      <w:pPr>
        <w:pStyle w:val="663"/>
        <w:pBdr/>
        <w:spacing/>
        <w:ind/>
        <w:rPr/>
      </w:pPr>
      <w:r>
        <w:t xml:space="preserve">We’ll try to keep everything as similar to last year’s work as possible. The main change is about the folder structure. </w:t>
      </w:r>
      <w:r>
        <w:rPr>
          <w:highlight w:val="none"/>
        </w:rPr>
      </w:r>
    </w:p>
    <w:p>
      <w:pPr>
        <w:pStyle w:val="663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63"/>
        <w:pBdr/>
        <w:spacing/>
        <w:ind/>
        <w:rPr>
          <w:highlight w:val="none"/>
        </w:rPr>
      </w:pPr>
      <w:r>
        <w:t xml:space="preserve">1) Each stocks has it’s own folder with the naming convention </w:t>
      </w:r>
      <w:r>
        <w:t xml:space="preserve">[</w:t>
      </w:r>
      <w:r>
        <w:rPr>
          <w:i/>
          <w:iCs/>
        </w:rPr>
        <w:t xml:space="preserve">STK</w:t>
      </w:r>
      <w:r>
        <w:t xml:space="preserve">]_[</w:t>
      </w:r>
      <w:r>
        <w:rPr>
          <w:i/>
          <w:iCs/>
        </w:rPr>
        <w:t xml:space="preserve">GSA</w:t>
      </w:r>
      <w:r>
        <w:t xml:space="preserve">]</w:t>
      </w:r>
      <w:r>
        <w:t xml:space="preserve"> (3 letter stock code, underscore, GSA 2 number code)</w:t>
      </w:r>
      <w:r>
        <w:t xml:space="preserve"> for example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ARA</w:t>
      </w:r>
      <w:r>
        <w:rPr>
          <w:b w:val="0"/>
          <w:bCs w:val="0"/>
        </w:rPr>
        <w:t xml:space="preserve">_01</w:t>
      </w:r>
      <w:r>
        <w:rPr>
          <w:b/>
          <w:bCs/>
        </w:rPr>
        <w:t xml:space="preserve"> </w:t>
      </w:r>
      <w:r>
        <w:t xml:space="preserve">or NEP_17_18. </w:t>
      </w:r>
      <w:r/>
      <w:r/>
    </w:p>
    <w:p>
      <w:pPr>
        <w:pStyle w:val="663"/>
        <w:pBdr/>
        <w:spacing/>
        <w:ind/>
        <w:rPr>
          <w:highlight w:val="none"/>
        </w:rPr>
      </w:pPr>
      <w:r>
        <w:rPr>
          <w:highlight w:val="none"/>
        </w:rPr>
        <w:t xml:space="preserve">2) Each stock folder will be split in 4 folders:</w:t>
      </w:r>
      <w:r>
        <w:rPr>
          <w:highlight w:val="none"/>
        </w:rPr>
      </w:r>
    </w:p>
    <w:p>
      <w:pPr>
        <w:pStyle w:val="663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data_preparation</w:t>
      </w:r>
      <w:r>
        <w:rPr>
          <w:highlight w:val="none"/>
        </w:rPr>
      </w:r>
    </w:p>
    <w:p>
      <w:pPr>
        <w:pStyle w:val="663"/>
        <w:pBdr/>
        <w:spacing/>
        <w:ind w:firstLine="0" w:left="708"/>
        <w:rPr>
          <w:highlight w:val="none"/>
        </w:rPr>
      </w:pPr>
      <w:r>
        <w:rPr>
          <w:highlight w:val="none"/>
        </w:rPr>
        <w:t xml:space="preserve">All data preparation should be here, from the data call level, up to creation of stock and index objects. S</w:t>
      </w:r>
      <w:r>
        <w:rPr>
          <w:highlight w:val="none"/>
        </w:rPr>
        <w:t xml:space="preserve">ave </w:t>
      </w:r>
      <w:r>
        <w:rPr>
          <w:highlight w:val="none"/>
        </w:rPr>
        <w:t xml:space="preserve">the stock input data just before run the final model as </w:t>
      </w:r>
      <w:r>
        <w:rPr>
          <w:highlight w:val="none"/>
        </w:rPr>
        <w:t xml:space="preserve">[</w:t>
      </w:r>
      <w:r>
        <w:rPr>
          <w:i/>
          <w:iCs/>
          <w:highlight w:val="none"/>
        </w:rPr>
        <w:t xml:space="preserve">STK</w:t>
      </w:r>
      <w:r>
        <w:rPr>
          <w:highlight w:val="none"/>
        </w:rPr>
        <w:t xml:space="preserve">]</w:t>
      </w:r>
      <w:r>
        <w:rPr>
          <w:highlight w:val="none"/>
        </w:rPr>
        <w:t xml:space="preserve">_[</w:t>
      </w:r>
      <w:r>
        <w:rPr>
          <w:i/>
          <w:iCs/>
          <w:highlight w:val="none"/>
        </w:rPr>
        <w:t xml:space="preserve">GSA</w:t>
      </w:r>
      <w:r>
        <w:rPr>
          <w:highlight w:val="none"/>
        </w:rPr>
        <w:t xml:space="preserve">]_STK.rds</w:t>
      </w:r>
      <w:r>
        <w:rPr>
          <w:highlight w:val="none"/>
        </w:rPr>
        <w:t xml:space="preserve"> and the indices as [STK]_[GSA]</w:t>
      </w:r>
      <w:r>
        <w:rPr>
          <w:highlight w:val="none"/>
        </w:rPr>
        <w:t xml:space="preserve">_IDX.rds. For example ARA_01_STK.rds. </w:t>
      </w:r>
      <w:r/>
      <w:r>
        <w:t xml:space="preserve">The Rscript, which must be cleaned of any exploratory analysis, must be named </w:t>
      </w:r>
      <w:r>
        <w:t xml:space="preserve">[</w:t>
      </w:r>
      <w:r>
        <w:rPr>
          <w:i/>
          <w:iCs/>
        </w:rPr>
        <w:t xml:space="preserve">STK</w:t>
      </w:r>
      <w:r>
        <w:t xml:space="preserve">]_[</w:t>
      </w:r>
      <w:r>
        <w:rPr>
          <w:i/>
          <w:iCs/>
        </w:rPr>
        <w:t xml:space="preserve">GSA</w:t>
      </w:r>
      <w:r>
        <w:t xml:space="preserve">]_PREP.r</w:t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663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model_fit</w:t>
      </w:r>
      <w:r>
        <w:rPr>
          <w:highlight w:val="none"/>
        </w:rPr>
      </w:r>
    </w:p>
    <w:p>
      <w:pPr>
        <w:pStyle w:val="663"/>
        <w:pBdr/>
        <w:spacing/>
        <w:ind w:firstLine="0" w:left="708"/>
        <w:rPr/>
      </w:pPr>
      <w:r>
        <w:rPr>
          <w:highlight w:val="none"/>
        </w:rPr>
        <w:t xml:space="preserve">Everything related with model fits, diagnostics, sensitivity runs and summaries should be here. Can be split into </w:t>
      </w:r>
      <w:r>
        <w:t xml:space="preserve">as many runs, or groups of runs, as necessary, the final run folder should be named “final_run”. S</w:t>
      </w:r>
      <w:r>
        <w:t xml:space="preserve">ave the updated stock object as [</w:t>
      </w:r>
      <w:r>
        <w:rPr>
          <w:i/>
          <w:iCs/>
        </w:rPr>
        <w:t xml:space="preserve">STK</w:t>
      </w:r>
      <w:r>
        <w:t xml:space="preserve">]_[</w:t>
      </w:r>
      <w:r>
        <w:rPr>
          <w:i/>
          <w:iCs/>
        </w:rPr>
        <w:t xml:space="preserve">GSA</w:t>
      </w:r>
      <w:r>
        <w:t xml:space="preserve">]_MODEL.rds (stk+fit) and the fit object [</w:t>
      </w:r>
      <w:r>
        <w:rPr>
          <w:i/>
          <w:iCs/>
        </w:rPr>
        <w:t xml:space="preserve">STK</w:t>
      </w:r>
      <w:r>
        <w:t xml:space="preserve">]_[</w:t>
      </w:r>
      <w:r>
        <w:rPr>
          <w:i/>
          <w:iCs/>
        </w:rPr>
        <w:t xml:space="preserve">GSA</w:t>
      </w:r>
      <w:r>
        <w:t xml:space="preserve">]_FIT.rds. </w:t>
      </w:r>
      <w:r>
        <w:t xml:space="preserve">The Rscript used to load input objects and run the final model, which must be cleaned of any exploratory analysis, must be named </w:t>
      </w:r>
      <w:r>
        <w:t xml:space="preserve">[</w:t>
      </w:r>
      <w:r>
        <w:rPr>
          <w:i/>
          <w:iCs/>
        </w:rPr>
        <w:t xml:space="preserve">STK</w:t>
      </w:r>
      <w:r>
        <w:t xml:space="preserve">]_[</w:t>
      </w:r>
      <w:r>
        <w:rPr>
          <w:i/>
          <w:iCs/>
        </w:rPr>
        <w:t xml:space="preserve">GSA</w:t>
      </w:r>
      <w:r>
        <w:t xml:space="preserve">]_MODEL.r</w:t>
      </w:r>
      <w:r/>
      <w:r>
        <w:rPr>
          <w:highlight w:val="none"/>
        </w:rPr>
        <w:t xml:space="preserve">   </w:t>
      </w:r>
      <w:r/>
      <w:r/>
      <w:r/>
    </w:p>
    <w:p>
      <w:pPr>
        <w:pStyle w:val="663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ref_points</w:t>
      </w:r>
      <w:r>
        <w:rPr>
          <w:highlight w:val="none"/>
        </w:rPr>
      </w:r>
    </w:p>
    <w:p>
      <w:pPr>
        <w:pStyle w:val="663"/>
        <w:pBdr/>
        <w:spacing/>
        <w:ind w:firstLine="0" w:left="708"/>
        <w:rPr>
          <w:highlight w:val="none"/>
        </w:rPr>
      </w:pPr>
      <w:r>
        <w:rPr>
          <w:highlight w:val="none"/>
        </w:rPr>
        <w:t xml:space="preserve">Everything related with reference points. Save BRP object as </w:t>
      </w:r>
      <w:r>
        <w:t xml:space="preserve">[</w:t>
      </w:r>
      <w:r>
        <w:rPr>
          <w:i/>
          <w:iCs/>
        </w:rPr>
        <w:t xml:space="preserve">STK</w:t>
      </w:r>
      <w:r>
        <w:t xml:space="preserve">]_[</w:t>
      </w:r>
      <w:r>
        <w:rPr>
          <w:i/>
          <w:iCs/>
        </w:rPr>
        <w:t xml:space="preserve">GSA</w:t>
      </w:r>
      <w:r>
        <w:t xml:space="preserve">]_BRP.rds and, if the stock recruitment was fitted outside the model fit, save as</w:t>
      </w:r>
      <w:r>
        <w:rPr>
          <w:highlight w:val="none"/>
        </w:rPr>
        <w:t xml:space="preserve"> </w:t>
      </w:r>
      <w:r>
        <w:t xml:space="preserve">[</w:t>
      </w:r>
      <w:r>
        <w:rPr>
          <w:i/>
          <w:iCs/>
        </w:rPr>
        <w:t xml:space="preserve">STK</w:t>
      </w:r>
      <w:r>
        <w:t xml:space="preserve">]_[</w:t>
      </w:r>
      <w:r>
        <w:rPr>
          <w:i/>
          <w:iCs/>
        </w:rPr>
        <w:t xml:space="preserve">GSA</w:t>
      </w:r>
      <w:r>
        <w:t xml:space="preserve">]_SR.rds. </w:t>
      </w:r>
      <w:r/>
      <w:r>
        <w:t xml:space="preserve">The Rscript, which must be cleaned of any exploratory analysis, must be named </w:t>
      </w:r>
      <w:r>
        <w:t xml:space="preserve">[</w:t>
      </w:r>
      <w:r>
        <w:rPr>
          <w:i/>
          <w:iCs/>
        </w:rPr>
        <w:t xml:space="preserve">STK</w:t>
      </w:r>
      <w:r>
        <w:t xml:space="preserve">]_[</w:t>
      </w:r>
      <w:r>
        <w:rPr>
          <w:i/>
          <w:iCs/>
        </w:rPr>
        <w:t xml:space="preserve">GSA</w:t>
      </w:r>
      <w:r>
        <w:t xml:space="preserve">]_RP.r.</w:t>
      </w:r>
      <w:r/>
      <w:r/>
      <w:r/>
      <w:r>
        <w:t xml:space="preserve"> </w:t>
      </w:r>
      <w:r>
        <w:rPr>
          <w:highlight w:val="none"/>
        </w:rPr>
        <w:t xml:space="preserve">  </w:t>
      </w:r>
      <w:r>
        <w:rPr>
          <w:highlight w:val="none"/>
        </w:rPr>
      </w:r>
      <w:r/>
    </w:p>
    <w:p>
      <w:pPr>
        <w:pStyle w:val="663"/>
        <w:numPr>
          <w:ilvl w:val="0"/>
          <w:numId w:val="1"/>
        </w:numPr>
        <w:pBdr/>
        <w:spacing/>
        <w:ind/>
        <w:rPr/>
      </w:pPr>
      <w:r>
        <w:t xml:space="preserve">stf</w:t>
      </w:r>
      <w:r>
        <w:rPr>
          <w:highlight w:val="none"/>
        </w:rPr>
      </w:r>
    </w:p>
    <w:p>
      <w:pPr>
        <w:pStyle w:val="663"/>
        <w:pBdr/>
        <w:spacing/>
        <w:ind w:firstLine="0" w:left="708"/>
        <w:rPr>
          <w:highlight w:val="none"/>
        </w:rPr>
      </w:pPr>
      <w:r/>
      <w:r>
        <w:t xml:space="preserve">Everything related with short term forecast. Save stock object as [</w:t>
      </w:r>
      <w:r>
        <w:rPr>
          <w:i/>
          <w:iCs/>
        </w:rPr>
        <w:t xml:space="preserve">STK</w:t>
      </w:r>
      <w:r>
        <w:t xml:space="preserve">]_[</w:t>
      </w:r>
      <w:r>
        <w:rPr>
          <w:i/>
          <w:iCs/>
        </w:rPr>
        <w:t xml:space="preserve">GSA</w:t>
      </w:r>
      <w:r>
        <w:t xml:space="preserve">]_STF.rds. The Rscript, which must be cleane</w:t>
      </w:r>
      <w:r>
        <w:t xml:space="preserve">d of any exploratory analysis, must be named [</w:t>
      </w:r>
      <w:r>
        <w:rPr>
          <w:i/>
          <w:iCs/>
        </w:rPr>
        <w:t xml:space="preserve">STK</w:t>
      </w:r>
      <w:r>
        <w:t xml:space="preserve">]_[</w:t>
      </w:r>
      <w:r>
        <w:rPr>
          <w:i/>
          <w:iCs/>
        </w:rPr>
        <w:t xml:space="preserve">GSA</w:t>
      </w:r>
      <w:r>
        <w:t xml:space="preserve">]_STF.r. </w:t>
      </w:r>
      <w:r>
        <w:rPr>
          <w:b/>
          <w:bCs/>
        </w:rPr>
      </w:r>
      <w:r>
        <w:t xml:space="preserve">STF final excel or csv file table (main output of the STF Rscript) </w:t>
      </w:r>
      <w:r>
        <w:t xml:space="preserve">should be named </w:t>
      </w:r>
      <w:r>
        <w:t xml:space="preserve">[</w:t>
      </w:r>
      <w:r>
        <w:rPr>
          <w:i/>
          <w:iCs/>
        </w:rPr>
        <w:t xml:space="preserve">STK</w:t>
      </w:r>
      <w:r>
        <w:t xml:space="preserve">]_[</w:t>
      </w:r>
      <w:r>
        <w:rPr>
          <w:i/>
          <w:iCs/>
        </w:rPr>
        <w:t xml:space="preserve">GSA</w:t>
      </w:r>
      <w:r>
        <w:t xml:space="preserve">]_STF.xls or </w:t>
      </w:r>
      <w:r>
        <w:t xml:space="preserve">[</w:t>
      </w:r>
      <w:r>
        <w:rPr>
          <w:i/>
          <w:iCs/>
        </w:rPr>
        <w:t xml:space="preserve">STK</w:t>
      </w:r>
      <w:r>
        <w:t xml:space="preserve">]_[</w:t>
      </w:r>
      <w:r>
        <w:rPr>
          <w:i/>
          <w:iCs/>
        </w:rPr>
        <w:t xml:space="preserve">GSA</w:t>
      </w:r>
      <w:r>
        <w:t xml:space="preserve">]_STF.csv</w:t>
      </w:r>
      <w:r>
        <w:t xml:space="preserve"> and saved inside the “stf” folder.</w:t>
      </w:r>
      <w:r/>
      <w:r/>
    </w:p>
    <w:p>
      <w:pPr>
        <w:pStyle w:val="663"/>
        <w:pBdr/>
        <w:spacing/>
        <w:ind/>
        <w:rPr>
          <w:color w:val="ff0000"/>
          <w:sz w:val="32"/>
          <w:szCs w:val="32"/>
          <w:highlight w:val="none"/>
        </w:rPr>
      </w:pPr>
      <w:r>
        <w:rPr>
          <w:color w:val="ff0000"/>
          <w:sz w:val="32"/>
          <w:szCs w:val="32"/>
          <w:highlight w:val="none"/>
        </w:rPr>
      </w:r>
      <w:r>
        <w:rPr>
          <w:color w:val="ff0000"/>
          <w:sz w:val="32"/>
          <w:szCs w:val="32"/>
          <w:highlight w:val="none"/>
        </w:rPr>
      </w:r>
    </w:p>
    <w:p>
      <w:pPr>
        <w:pStyle w:val="663"/>
        <w:pBdr/>
        <w:spacing/>
        <w:ind/>
        <w:rPr>
          <w:color w:val="ff0000"/>
          <w:sz w:val="32"/>
          <w:szCs w:val="32"/>
          <w:highlight w:val="none"/>
        </w:rPr>
      </w:pPr>
      <w:r>
        <w:rPr>
          <w:color w:val="ff0000"/>
          <w:sz w:val="32"/>
          <w:szCs w:val="32"/>
          <w:highlight w:val="none"/>
        </w:rPr>
      </w:r>
      <w:r>
        <w:rPr>
          <w:color w:val="ff0000"/>
          <w:sz w:val="32"/>
          <w:szCs w:val="32"/>
          <w:highlight w:val="non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092"/>
        <w:gridCol w:w="2639"/>
        <w:gridCol w:w="2622"/>
        <w:gridCol w:w="2835"/>
      </w:tblGrid>
      <w:tr>
        <w:trPr/>
        <w:tc>
          <w:tcPr>
            <w:tcBorders/>
            <w:tcW w:w="2092" w:type="dxa"/>
            <w:textDirection w:val="lrTb"/>
            <w:noWrap w:val="false"/>
          </w:tcPr>
          <w:p>
            <w:pPr>
              <w:pStyle w:val="663"/>
              <w:pBdr/>
              <w:spacing/>
              <w:ind/>
              <w:rPr/>
            </w:pPr>
            <w:r>
              <w:t xml:space="preserve">folder</w:t>
            </w:r>
            <w:r/>
          </w:p>
        </w:tc>
        <w:tc>
          <w:tcPr>
            <w:tcBorders/>
            <w:tcW w:w="2639" w:type="dxa"/>
            <w:textDirection w:val="lrTb"/>
            <w:noWrap w:val="false"/>
          </w:tcPr>
          <w:p>
            <w:pPr>
              <w:pStyle w:val="663"/>
              <w:pBdr/>
              <w:spacing/>
              <w:ind/>
              <w:rPr/>
            </w:pPr>
            <w:r>
              <w:t xml:space="preserve">subfolders (mandatory)</w:t>
            </w:r>
            <w:r/>
          </w:p>
        </w:tc>
        <w:tc>
          <w:tcPr>
            <w:tcBorders/>
            <w:tcW w:w="2622" w:type="dxa"/>
            <w:textDirection w:val="lrTb"/>
            <w:noWrap w:val="false"/>
          </w:tcPr>
          <w:p>
            <w:pPr>
              <w:pStyle w:val="663"/>
              <w:pBdr/>
              <w:spacing/>
              <w:ind/>
              <w:rPr/>
            </w:pPr>
            <w:r>
              <w:t xml:space="preserve">R script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663"/>
              <w:pBdr/>
              <w:spacing/>
              <w:ind/>
              <w:rPr/>
            </w:pPr>
            <w:r>
              <w:t xml:space="preserve">output objects</w:t>
            </w:r>
            <w:r/>
          </w:p>
        </w:tc>
      </w:tr>
      <w:tr>
        <w:trPr/>
        <w:tc>
          <w:tcPr>
            <w:tcBorders/>
            <w:tcW w:w="2092" w:type="dxa"/>
            <w:textDirection w:val="lrTb"/>
            <w:noWrap w:val="false"/>
          </w:tcPr>
          <w:p>
            <w:pPr>
              <w:pStyle w:val="663"/>
              <w:pBdr/>
              <w:spacing/>
              <w:ind/>
              <w:rPr/>
            </w:pPr>
            <w:r>
              <w:t xml:space="preserve">data_preparation</w:t>
            </w:r>
            <w:r/>
          </w:p>
        </w:tc>
        <w:tc>
          <w:tcPr>
            <w:tcBorders/>
            <w:tcW w:w="2639" w:type="dxa"/>
            <w:textDirection w:val="lrTb"/>
            <w:noWrap w:val="false"/>
          </w:tcPr>
          <w:p>
            <w:pPr>
              <w:pStyle w:val="663"/>
              <w:pBdr/>
              <w:spacing/>
              <w:ind/>
              <w:rPr/>
            </w:pPr>
            <w:r/>
            <w:r/>
          </w:p>
        </w:tc>
        <w:tc>
          <w:tcPr>
            <w:tcBorders/>
            <w:tcW w:w="2622" w:type="dxa"/>
            <w:textDirection w:val="lrTb"/>
            <w:noWrap w:val="false"/>
          </w:tcPr>
          <w:p>
            <w:pPr>
              <w:pStyle w:val="663"/>
              <w:pBdr/>
              <w:spacing/>
              <w:ind/>
              <w:rPr/>
            </w:pPr>
            <w:r/>
            <w:r>
              <w:t xml:space="preserve"> </w:t>
            </w:r>
            <w:r>
              <w:t xml:space="preserve">[</w:t>
            </w:r>
            <w:r>
              <w:rPr>
                <w:i/>
                <w:iCs/>
              </w:rPr>
              <w:t xml:space="preserve">STK</w:t>
            </w:r>
            <w:r>
              <w:t xml:space="preserve">]_[</w:t>
            </w:r>
            <w:r>
              <w:rPr>
                <w:i/>
                <w:iCs/>
              </w:rPr>
              <w:t xml:space="preserve">GSA</w:t>
            </w:r>
            <w:r>
              <w:t xml:space="preserve">]_PREP.r</w:t>
            </w:r>
            <w:r/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663"/>
              <w:pBdr/>
              <w:spacing/>
              <w:ind/>
              <w:rPr/>
            </w:pP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[</w:t>
            </w:r>
            <w:r>
              <w:rPr>
                <w:i/>
                <w:iCs/>
                <w:highlight w:val="none"/>
              </w:rPr>
              <w:t xml:space="preserve">STK</w:t>
            </w:r>
            <w:r>
              <w:rPr>
                <w:highlight w:val="none"/>
              </w:rPr>
              <w:t xml:space="preserve">]</w:t>
            </w:r>
            <w:r>
              <w:rPr>
                <w:highlight w:val="none"/>
              </w:rPr>
              <w:t xml:space="preserve">_[</w:t>
            </w:r>
            <w:r>
              <w:rPr>
                <w:i/>
                <w:iCs/>
                <w:highlight w:val="none"/>
              </w:rPr>
              <w:t xml:space="preserve">GSA</w:t>
            </w:r>
            <w:r>
              <w:rPr>
                <w:highlight w:val="none"/>
              </w:rPr>
              <w:t xml:space="preserve">]_STK.rds</w:t>
            </w:r>
            <w:r>
              <w:t xml:space="preserve"> </w:t>
            </w:r>
            <w:r>
              <w:rPr>
                <w:highlight w:val="none"/>
              </w:rPr>
              <w:t xml:space="preserve">[</w:t>
            </w:r>
            <w:r>
              <w:rPr>
                <w:i/>
                <w:iCs/>
                <w:highlight w:val="none"/>
              </w:rPr>
              <w:t xml:space="preserve">STK</w:t>
            </w:r>
            <w:r>
              <w:rPr>
                <w:highlight w:val="none"/>
              </w:rPr>
              <w:t xml:space="preserve">]_[</w:t>
            </w:r>
            <w:r>
              <w:rPr>
                <w:i/>
                <w:iCs/>
                <w:highlight w:val="none"/>
              </w:rPr>
              <w:t xml:space="preserve">GSA</w:t>
            </w:r>
            <w:r>
              <w:rPr>
                <w:highlight w:val="none"/>
              </w:rPr>
              <w:t xml:space="preserve">]</w:t>
            </w:r>
            <w:r>
              <w:rPr>
                <w:highlight w:val="none"/>
              </w:rPr>
              <w:t xml:space="preserve">_IDX.rds</w:t>
            </w:r>
            <w:r/>
            <w:r/>
            <w:r/>
          </w:p>
        </w:tc>
      </w:tr>
      <w:tr>
        <w:trPr/>
        <w:tc>
          <w:tcPr>
            <w:tcBorders/>
            <w:tcW w:w="2092" w:type="dxa"/>
            <w:textDirection w:val="lrTb"/>
            <w:noWrap w:val="false"/>
          </w:tcPr>
          <w:p>
            <w:pPr>
              <w:pStyle w:val="663"/>
              <w:pBdr/>
              <w:spacing/>
              <w:ind/>
              <w:rPr/>
            </w:pPr>
            <w:r>
              <w:t xml:space="preserve">model_fit</w:t>
            </w:r>
            <w:r/>
          </w:p>
        </w:tc>
        <w:tc>
          <w:tcPr>
            <w:tcBorders/>
            <w:tcW w:w="2639" w:type="dxa"/>
            <w:textDirection w:val="lrTb"/>
            <w:noWrap w:val="false"/>
          </w:tcPr>
          <w:p>
            <w:pPr>
              <w:pStyle w:val="663"/>
              <w:pBdr/>
              <w:spacing/>
              <w:ind/>
              <w:rPr/>
            </w:pPr>
            <w:r>
              <w:t xml:space="preserve">final_run</w:t>
            </w:r>
            <w:r/>
          </w:p>
        </w:tc>
        <w:tc>
          <w:tcPr>
            <w:tcBorders/>
            <w:tcW w:w="2622" w:type="dxa"/>
            <w:textDirection w:val="lrTb"/>
            <w:noWrap w:val="false"/>
          </w:tcPr>
          <w:p>
            <w:pPr>
              <w:pStyle w:val="663"/>
              <w:pBdr/>
              <w:spacing/>
              <w:ind/>
              <w:rPr/>
            </w:pPr>
            <w:r/>
            <w:r>
              <w:t xml:space="preserve">[</w:t>
            </w:r>
            <w:r>
              <w:rPr>
                <w:i/>
                <w:iCs/>
              </w:rPr>
              <w:t xml:space="preserve">STK</w:t>
            </w:r>
            <w:r>
              <w:t xml:space="preserve">]_[</w:t>
            </w:r>
            <w:r>
              <w:rPr>
                <w:i/>
                <w:iCs/>
              </w:rPr>
              <w:t xml:space="preserve">GSA</w:t>
            </w:r>
            <w:r>
              <w:t xml:space="preserve">]_MODEL.r</w:t>
            </w:r>
            <w:r/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663"/>
              <w:pBdr/>
              <w:spacing/>
              <w:ind/>
              <w:rPr/>
            </w:pPr>
            <w:r/>
            <w:r>
              <w:t xml:space="preserve">[</w:t>
            </w:r>
            <w:r>
              <w:rPr>
                <w:i/>
                <w:iCs/>
              </w:rPr>
              <w:t xml:space="preserve">STK</w:t>
            </w:r>
            <w:r>
              <w:t xml:space="preserve">]_[</w:t>
            </w:r>
            <w:r>
              <w:rPr>
                <w:i/>
                <w:iCs/>
              </w:rPr>
              <w:t xml:space="preserve">GSA</w:t>
            </w:r>
            <w:r>
              <w:t xml:space="preserve">]_MODEL.rds </w:t>
            </w:r>
            <w:r>
              <w:t xml:space="preserve">[</w:t>
            </w:r>
            <w:r>
              <w:rPr>
                <w:i/>
                <w:iCs/>
              </w:rPr>
              <w:t xml:space="preserve">STK</w:t>
            </w:r>
            <w:r>
              <w:t xml:space="preserve">]_[</w:t>
            </w:r>
            <w:r>
              <w:rPr>
                <w:i/>
                <w:iCs/>
              </w:rPr>
              <w:t xml:space="preserve">GSA</w:t>
            </w:r>
            <w:r>
              <w:t xml:space="preserve">]_FIT.rds</w:t>
            </w:r>
            <w:r/>
            <w:r/>
            <w:r/>
            <w:r/>
            <w:r/>
          </w:p>
        </w:tc>
      </w:tr>
      <w:tr>
        <w:trPr/>
        <w:tc>
          <w:tcPr>
            <w:tcBorders/>
            <w:tcW w:w="2092" w:type="dxa"/>
            <w:textDirection w:val="lrTb"/>
            <w:noWrap w:val="false"/>
          </w:tcPr>
          <w:p>
            <w:pPr>
              <w:pStyle w:val="663"/>
              <w:pBdr/>
              <w:spacing/>
              <w:ind/>
              <w:rPr/>
            </w:pPr>
            <w:r>
              <w:t xml:space="preserve">ref_points</w:t>
            </w:r>
            <w:r/>
          </w:p>
        </w:tc>
        <w:tc>
          <w:tcPr>
            <w:tcBorders/>
            <w:tcW w:w="2639" w:type="dxa"/>
            <w:textDirection w:val="lrTb"/>
            <w:noWrap w:val="false"/>
          </w:tcPr>
          <w:p>
            <w:pPr>
              <w:pStyle w:val="663"/>
              <w:pBdr/>
              <w:spacing/>
              <w:ind/>
              <w:rPr/>
            </w:pPr>
            <w:r/>
            <w:r/>
          </w:p>
        </w:tc>
        <w:tc>
          <w:tcPr>
            <w:tcBorders/>
            <w:tcW w:w="2622" w:type="dxa"/>
            <w:textDirection w:val="lrTb"/>
            <w:noWrap w:val="false"/>
          </w:tcPr>
          <w:p>
            <w:pPr>
              <w:pStyle w:val="663"/>
              <w:pBdr/>
              <w:spacing/>
              <w:ind/>
              <w:rPr/>
            </w:pPr>
            <w:r/>
            <w:r>
              <w:t xml:space="preserve">[</w:t>
            </w:r>
            <w:r>
              <w:rPr>
                <w:i/>
                <w:iCs/>
              </w:rPr>
              <w:t xml:space="preserve">STK</w:t>
            </w:r>
            <w:r>
              <w:t xml:space="preserve">]_[</w:t>
            </w:r>
            <w:r>
              <w:rPr>
                <w:i/>
                <w:iCs/>
              </w:rPr>
              <w:t xml:space="preserve">GSA</w:t>
            </w:r>
            <w:r>
              <w:t xml:space="preserve">]_RP.r</w:t>
            </w:r>
            <w:r/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663"/>
              <w:pBdr/>
              <w:spacing/>
              <w:ind/>
              <w:rPr/>
            </w:pPr>
            <w:r/>
            <w:r>
              <w:rPr>
                <w:highlight w:val="none"/>
              </w:rPr>
            </w:r>
            <w:r>
              <w:t xml:space="preserve">[</w:t>
            </w:r>
            <w:r>
              <w:rPr>
                <w:i/>
                <w:iCs/>
              </w:rPr>
              <w:t xml:space="preserve">STK</w:t>
            </w:r>
            <w:r>
              <w:t xml:space="preserve">]_[</w:t>
            </w:r>
            <w:r>
              <w:rPr>
                <w:i/>
                <w:iCs/>
              </w:rPr>
              <w:t xml:space="preserve">GSA</w:t>
            </w:r>
            <w:r>
              <w:t xml:space="preserve">]_BRP.rds</w:t>
            </w:r>
            <w:r/>
            <w:r>
              <w:t xml:space="preserve"> </w:t>
            </w:r>
            <w:r>
              <w:t xml:space="preserve">[</w:t>
            </w:r>
            <w:r>
              <w:rPr>
                <w:i/>
                <w:iCs/>
              </w:rPr>
              <w:t xml:space="preserve">STK</w:t>
            </w:r>
            <w:r>
              <w:t xml:space="preserve">]_[</w:t>
            </w:r>
            <w:r>
              <w:rPr>
                <w:i/>
                <w:iCs/>
              </w:rPr>
              <w:t xml:space="preserve">GSA</w:t>
            </w:r>
            <w:r>
              <w:t xml:space="preserve">]_SR.rds</w:t>
            </w:r>
            <w:r/>
            <w:r/>
            <w:r/>
          </w:p>
        </w:tc>
      </w:tr>
      <w:tr>
        <w:trPr/>
        <w:tc>
          <w:tcPr>
            <w:tcBorders/>
            <w:tcW w:w="2092" w:type="dxa"/>
            <w:textDirection w:val="lrTb"/>
            <w:noWrap w:val="false"/>
          </w:tcPr>
          <w:p>
            <w:pPr>
              <w:pStyle w:val="663"/>
              <w:pBdr/>
              <w:spacing/>
              <w:ind/>
              <w:rPr/>
            </w:pPr>
            <w:r>
              <w:t xml:space="preserve">stf</w:t>
            </w:r>
            <w:r/>
          </w:p>
        </w:tc>
        <w:tc>
          <w:tcPr>
            <w:tcBorders/>
            <w:tcW w:w="2639" w:type="dxa"/>
            <w:textDirection w:val="lrTb"/>
            <w:noWrap w:val="false"/>
          </w:tcPr>
          <w:p>
            <w:pPr>
              <w:pStyle w:val="663"/>
              <w:pBdr/>
              <w:spacing/>
              <w:ind/>
              <w:rPr/>
            </w:pPr>
            <w:r/>
            <w:r/>
          </w:p>
        </w:tc>
        <w:tc>
          <w:tcPr>
            <w:tcBorders/>
            <w:tcW w:w="2622" w:type="dxa"/>
            <w:textDirection w:val="lrTb"/>
            <w:noWrap w:val="false"/>
          </w:tcPr>
          <w:p>
            <w:pPr>
              <w:pStyle w:val="663"/>
              <w:pBdr/>
              <w:spacing/>
              <w:ind/>
              <w:rPr/>
            </w:pPr>
            <w:r/>
            <w:r>
              <w:t xml:space="preserve">[</w:t>
            </w:r>
            <w:r>
              <w:rPr>
                <w:i/>
                <w:iCs/>
              </w:rPr>
              <w:t xml:space="preserve">STK</w:t>
            </w:r>
            <w:r>
              <w:t xml:space="preserve">]_[</w:t>
            </w:r>
            <w:r>
              <w:rPr>
                <w:i/>
                <w:iCs/>
              </w:rPr>
              <w:t xml:space="preserve">GSA</w:t>
            </w:r>
            <w:r>
              <w:t xml:space="preserve">]_STF.r</w:t>
            </w:r>
            <w:r/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663"/>
              <w:pBdr/>
              <w:spacing/>
              <w:ind/>
              <w:rPr/>
            </w:pPr>
            <w:r/>
            <w:r>
              <w:t xml:space="preserve">[</w:t>
            </w:r>
            <w:r>
              <w:rPr>
                <w:i/>
                <w:iCs/>
              </w:rPr>
              <w:t xml:space="preserve">STK</w:t>
            </w:r>
            <w:r>
              <w:t xml:space="preserve">]_[</w:t>
            </w:r>
            <w:r>
              <w:rPr>
                <w:i/>
                <w:iCs/>
              </w:rPr>
              <w:t xml:space="preserve">GSA</w:t>
            </w:r>
            <w:r>
              <w:t xml:space="preserve">]_STF.rds,</w:t>
            </w:r>
            <w:r/>
            <w:r>
              <w:t xml:space="preserve"> </w:t>
            </w:r>
            <w:r>
              <w:t xml:space="preserve">[</w:t>
            </w:r>
            <w:r>
              <w:rPr>
                <w:i/>
                <w:iCs/>
              </w:rPr>
              <w:t xml:space="preserve">STK</w:t>
            </w:r>
            <w:r>
              <w:t xml:space="preserve">]_[</w:t>
            </w:r>
            <w:r>
              <w:rPr>
                <w:i/>
                <w:iCs/>
              </w:rPr>
              <w:t xml:space="preserve">GSA</w:t>
            </w:r>
            <w:r>
              <w:t xml:space="preserve">]_STF.xls </w:t>
            </w:r>
            <w:r/>
            <w:r>
              <w:t xml:space="preserve">or </w:t>
            </w:r>
            <w:r>
              <w:t xml:space="preserve">[</w:t>
            </w:r>
            <w:r>
              <w:rPr>
                <w:i/>
                <w:iCs/>
              </w:rPr>
              <w:t xml:space="preserve">STK</w:t>
            </w:r>
            <w:r>
              <w:t xml:space="preserve">]_[</w:t>
            </w:r>
            <w:r>
              <w:rPr>
                <w:i/>
                <w:iCs/>
              </w:rPr>
              <w:t xml:space="preserve">GSA</w:t>
            </w:r>
            <w:r>
              <w:t xml:space="preserve">]_STF.csv </w:t>
            </w:r>
            <w:r/>
            <w:r/>
            <w:r/>
          </w:p>
        </w:tc>
      </w:tr>
    </w:tbl>
    <w:p>
      <w:pPr>
        <w:pStyle w:val="663"/>
        <w:pBdr/>
        <w:spacing/>
        <w:ind/>
        <w:rPr/>
      </w:pPr>
      <w:r/>
      <w:r/>
    </w:p>
    <w:p>
      <w:pPr>
        <w:pStyle w:val="663"/>
        <w:pBdr/>
        <w:spacing/>
        <w:ind/>
        <w:rPr/>
      </w:pPr>
      <w:r/>
      <w:r/>
    </w:p>
    <w:p>
      <w:pPr>
        <w:pStyle w:val="663"/>
        <w:pBdr/>
        <w:spacing/>
        <w:ind/>
        <w:rPr/>
      </w:pPr>
      <w:r/>
      <w:r/>
    </w:p>
    <w:p>
      <w:pPr>
        <w:pStyle w:val="663"/>
        <w:pBdr/>
        <w:spacing/>
        <w:ind/>
        <w:rPr>
          <w:b/>
          <w:bCs/>
          <w:i w:val="0"/>
        </w:rPr>
      </w:pPr>
      <w:r>
        <w:rPr>
          <w:b/>
          <w:bCs/>
          <w:i w:val="0"/>
          <w:iCs w:val="0"/>
          <w:highlight w:val="none"/>
        </w:rPr>
        <w:t xml:space="preserve">If needed use the following g</w:t>
      </w:r>
      <w:r>
        <w:rPr>
          <w:b/>
          <w:bCs/>
          <w:i w:val="0"/>
          <w:iCs w:val="0"/>
        </w:rPr>
        <w:t xml:space="preserve">ear codes:</w:t>
      </w:r>
      <w:r>
        <w:rPr>
          <w:b/>
          <w:bCs/>
          <w:i w:val="0"/>
          <w:iCs w:val="0"/>
        </w:rPr>
      </w:r>
      <w:r>
        <w:rPr>
          <w:b/>
          <w:bCs/>
          <w:i w:val="0"/>
          <w:iCs w:val="0"/>
        </w:rPr>
      </w:r>
    </w:p>
    <w:p>
      <w:pPr>
        <w:pStyle w:val="663"/>
        <w:pBdr/>
        <w:spacing/>
        <w:ind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 xml:space="preserve">Trawlers OTB</w:t>
      </w:r>
      <w:r>
        <w:rPr>
          <w:b w:val="0"/>
          <w:bCs w:val="0"/>
          <w:i/>
          <w:iCs/>
        </w:rPr>
      </w:r>
    </w:p>
    <w:p>
      <w:pPr>
        <w:pStyle w:val="663"/>
        <w:pBdr/>
        <w:spacing/>
        <w:ind/>
        <w:rPr>
          <w:i/>
          <w:iCs/>
        </w:rPr>
      </w:pPr>
      <w:r>
        <w:rPr>
          <w:i/>
          <w:iCs/>
        </w:rPr>
        <w:t xml:space="preserve">Trammel net GTR</w:t>
      </w:r>
      <w:r>
        <w:rPr>
          <w:i/>
          <w:iCs/>
        </w:rPr>
      </w:r>
    </w:p>
    <w:p>
      <w:pPr>
        <w:pStyle w:val="663"/>
        <w:pBdr/>
        <w:spacing/>
        <w:ind/>
        <w:rPr>
          <w:i/>
          <w:iCs/>
        </w:rPr>
      </w:pPr>
      <w:r>
        <w:rPr>
          <w:i/>
          <w:iCs/>
        </w:rPr>
        <w:t xml:space="preserve">Gillnet GNS</w:t>
      </w:r>
      <w:r>
        <w:rPr>
          <w:i/>
          <w:iCs/>
        </w:rPr>
      </w:r>
    </w:p>
    <w:p>
      <w:pPr>
        <w:pStyle w:val="663"/>
        <w:pBdr/>
        <w:spacing/>
        <w:ind/>
        <w:rPr>
          <w:i/>
          <w:iCs/>
        </w:rPr>
      </w:pPr>
      <w:r>
        <w:rPr>
          <w:i/>
          <w:iCs/>
        </w:rPr>
        <w:t xml:space="preserve">Longliners LL</w:t>
      </w:r>
      <w:r>
        <w:rPr>
          <w:i/>
          <w:iCs/>
        </w:rPr>
      </w:r>
      <w:r>
        <w:rPr>
          <w:i/>
          <w:iCs/>
        </w:rPr>
      </w:r>
    </w:p>
    <w:p>
      <w:pPr>
        <w:pStyle w:val="663"/>
        <w:pBdr/>
        <w:spacing/>
        <w:ind/>
        <w:rPr>
          <w:i/>
          <w:iCs/>
        </w:rPr>
      </w:pPr>
      <w:r>
        <w:rPr>
          <w:i/>
          <w:iCs/>
        </w:rPr>
      </w:r>
      <w:r>
        <w:rPr>
          <w:i/>
          <w:iCs/>
        </w:rPr>
      </w:r>
    </w:p>
    <w:p>
      <w:pPr>
        <w:pStyle w:val="663"/>
        <w:pBdr/>
        <w:spacing/>
        <w:ind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A</w:t>
      </w:r>
      <w:r>
        <w:rPr>
          <w:b/>
          <w:bCs/>
          <w:i/>
          <w:iCs/>
          <w:sz w:val="32"/>
          <w:szCs w:val="32"/>
        </w:rPr>
        <w:t xml:space="preserve">l</w:t>
      </w:r>
      <w:r>
        <w:rPr>
          <w:b/>
          <w:bCs/>
          <w:i/>
          <w:iCs/>
          <w:sz w:val="32"/>
          <w:szCs w:val="32"/>
        </w:rPr>
        <w:t xml:space="preserve">l </w:t>
      </w:r>
      <w:r>
        <w:rPr>
          <w:b/>
          <w:bCs/>
          <w:i/>
          <w:iCs/>
          <w:sz w:val="32"/>
          <w:szCs w:val="32"/>
        </w:rPr>
        <w:t xml:space="preserve">ob</w:t>
      </w:r>
      <w:r>
        <w:rPr>
          <w:b/>
          <w:bCs/>
          <w:i/>
          <w:iCs/>
          <w:sz w:val="32"/>
          <w:szCs w:val="32"/>
        </w:rPr>
        <w:t xml:space="preserve">je</w:t>
      </w:r>
      <w:r>
        <w:rPr>
          <w:b/>
          <w:bCs/>
          <w:i/>
          <w:iCs/>
          <w:sz w:val="32"/>
          <w:szCs w:val="32"/>
        </w:rPr>
        <w:t xml:space="preserve">cts must to be saved as RDS</w:t>
      </w:r>
      <w:r>
        <w:rPr>
          <w:b/>
          <w:bCs/>
          <w:i/>
          <w:iCs/>
          <w:sz w:val="32"/>
          <w:szCs w:val="32"/>
        </w:rPr>
      </w:r>
    </w:p>
    <w:p>
      <w:pPr>
        <w:pStyle w:val="663"/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saveRDS(</w:t>
      </w:r>
      <w:r>
        <w:rPr>
          <w:b/>
          <w:bCs/>
          <w:sz w:val="32"/>
          <w:szCs w:val="32"/>
        </w:rPr>
        <w:t xml:space="preserve">your </w:t>
      </w:r>
      <w:r>
        <w:rPr>
          <w:b/>
          <w:bCs/>
          <w:sz w:val="32"/>
          <w:szCs w:val="32"/>
        </w:rPr>
        <w:t xml:space="preserve">object, file = " DPS_5_ESP_STK.rds")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663"/>
        <w:pBdr/>
        <w:spacing/>
        <w:ind/>
        <w:rPr>
          <w:i/>
          <w:iCs/>
        </w:rPr>
      </w:pPr>
      <w:r>
        <w:rPr>
          <w:i/>
          <w:iCs/>
        </w:rPr>
      </w:r>
      <w:r>
        <w:rPr>
          <w:i/>
          <w:iCs/>
        </w:rPr>
      </w:r>
    </w:p>
    <w:p>
      <w:pPr>
        <w:pStyle w:val="663"/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In case of others model e.g. SS3, SPICT, CMSY. Please still create the dedicated stock folder and save in all the script</w:t>
      </w:r>
      <w:r>
        <w:rPr>
          <w:b/>
          <w:bCs/>
        </w:rPr>
        <w:t xml:space="preserve">s</w:t>
      </w:r>
      <w:r>
        <w:rPr>
          <w:b/>
          <w:bCs/>
        </w:rPr>
        <w:t xml:space="preserve">, data or whatever need to rerun the assessment. If possible use the same codification above.</w:t>
      </w:r>
      <w:r>
        <w:rPr>
          <w:b/>
          <w:bCs/>
        </w:rPr>
      </w:r>
    </w:p>
    <w:p>
      <w:pPr>
        <w:pStyle w:val="663"/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sectPr>
      <w:footnotePr/>
      <w:endnotePr/>
      <w:type w:val="nextPage"/>
      <w:pgSz w:h="15840" w:orient="portrait" w:w="12240"/>
      <w:pgMar w:top="1134" w:right="1134" w:bottom="1134" w:left="1134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ourier New">
    <w:panose1 w:val="02070309020205020404"/>
  </w:font>
  <w:font w:name="Lohit Devanagari">
    <w:panose1 w:val="020B0600000000000000"/>
  </w:font>
  <w:font w:name="AR PL SungtiL GB">
    <w:panose1 w:val="05040102010807070707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8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AR PL SungtiL GB" w:cs="Lohit Devanagari"/>
        <w:lang w:val="it-IT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59"/>
    <w:next w:val="65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59"/>
    <w:next w:val="65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59"/>
    <w:next w:val="65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59"/>
    <w:next w:val="65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59"/>
    <w:next w:val="65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59"/>
    <w:next w:val="65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59"/>
    <w:next w:val="65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59"/>
    <w:next w:val="65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59"/>
    <w:next w:val="65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59"/>
    <w:next w:val="65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59"/>
    <w:next w:val="65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59"/>
    <w:next w:val="65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59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59"/>
    <w:next w:val="65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5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5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5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59"/>
    <w:next w:val="65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5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5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59"/>
    <w:next w:val="659"/>
    <w:uiPriority w:val="39"/>
    <w:unhideWhenUsed/>
    <w:pPr>
      <w:pBdr/>
      <w:spacing w:after="100"/>
      <w:ind/>
    </w:pPr>
  </w:style>
  <w:style w:type="paragraph" w:styleId="189">
    <w:name w:val="toc 2"/>
    <w:basedOn w:val="659"/>
    <w:next w:val="659"/>
    <w:uiPriority w:val="39"/>
    <w:unhideWhenUsed/>
    <w:pPr>
      <w:pBdr/>
      <w:spacing w:after="100"/>
      <w:ind w:left="220"/>
    </w:pPr>
  </w:style>
  <w:style w:type="paragraph" w:styleId="190">
    <w:name w:val="toc 3"/>
    <w:basedOn w:val="659"/>
    <w:next w:val="659"/>
    <w:uiPriority w:val="39"/>
    <w:unhideWhenUsed/>
    <w:pPr>
      <w:pBdr/>
      <w:spacing w:after="100"/>
      <w:ind w:left="440"/>
    </w:pPr>
  </w:style>
  <w:style w:type="paragraph" w:styleId="191">
    <w:name w:val="toc 4"/>
    <w:basedOn w:val="659"/>
    <w:next w:val="659"/>
    <w:uiPriority w:val="39"/>
    <w:unhideWhenUsed/>
    <w:pPr>
      <w:pBdr/>
      <w:spacing w:after="100"/>
      <w:ind w:left="660"/>
    </w:pPr>
  </w:style>
  <w:style w:type="paragraph" w:styleId="192">
    <w:name w:val="toc 5"/>
    <w:basedOn w:val="659"/>
    <w:next w:val="659"/>
    <w:uiPriority w:val="39"/>
    <w:unhideWhenUsed/>
    <w:pPr>
      <w:pBdr/>
      <w:spacing w:after="100"/>
      <w:ind w:left="880"/>
    </w:pPr>
  </w:style>
  <w:style w:type="paragraph" w:styleId="193">
    <w:name w:val="toc 6"/>
    <w:basedOn w:val="659"/>
    <w:next w:val="659"/>
    <w:uiPriority w:val="39"/>
    <w:unhideWhenUsed/>
    <w:pPr>
      <w:pBdr/>
      <w:spacing w:after="100"/>
      <w:ind w:left="1100"/>
    </w:pPr>
  </w:style>
  <w:style w:type="paragraph" w:styleId="194">
    <w:name w:val="toc 7"/>
    <w:basedOn w:val="659"/>
    <w:next w:val="659"/>
    <w:uiPriority w:val="39"/>
    <w:unhideWhenUsed/>
    <w:pPr>
      <w:pBdr/>
      <w:spacing w:after="100"/>
      <w:ind w:left="1320"/>
    </w:pPr>
  </w:style>
  <w:style w:type="paragraph" w:styleId="195">
    <w:name w:val="toc 8"/>
    <w:basedOn w:val="659"/>
    <w:next w:val="659"/>
    <w:uiPriority w:val="39"/>
    <w:unhideWhenUsed/>
    <w:pPr>
      <w:pBdr/>
      <w:spacing w:after="100"/>
      <w:ind w:left="1540"/>
    </w:pPr>
  </w:style>
  <w:style w:type="paragraph" w:styleId="196">
    <w:name w:val="toc 9"/>
    <w:basedOn w:val="659"/>
    <w:next w:val="659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59"/>
    <w:next w:val="659"/>
    <w:uiPriority w:val="99"/>
    <w:unhideWhenUsed/>
    <w:pPr>
      <w:pBdr/>
      <w:spacing w:after="0" w:afterAutospacing="0"/>
      <w:ind/>
    </w:pPr>
  </w:style>
  <w:style w:type="paragraph" w:styleId="659" w:default="1">
    <w:name w:val="Normal"/>
    <w:next w:val="659"/>
    <w:link w:val="659"/>
    <w:qFormat/>
    <w:pPr>
      <w:pBdr/>
      <w:spacing/>
      <w:ind/>
    </w:pPr>
    <w:rPr>
      <w:sz w:val="24"/>
      <w:szCs w:val="24"/>
      <w:lang w:val="en-US" w:eastAsia="zh-CN" w:bidi="hi-IN"/>
    </w:rPr>
  </w:style>
  <w:style w:type="character" w:styleId="660">
    <w:name w:val="Car. predefinito paragrafo"/>
    <w:next w:val="660"/>
    <w:link w:val="659"/>
    <w:uiPriority w:val="1"/>
    <w:unhideWhenUsed/>
    <w:pPr>
      <w:pBdr/>
      <w:spacing/>
      <w:ind/>
    </w:pPr>
  </w:style>
  <w:style w:type="table" w:styleId="661">
    <w:name w:val="Tabella normale"/>
    <w:next w:val="661"/>
    <w:link w:val="659"/>
    <w:uiPriority w:val="99"/>
    <w:semiHidden/>
    <w:unhideWhenUsed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>
    <w:name w:val="Nessun elenco"/>
    <w:next w:val="662"/>
    <w:link w:val="659"/>
    <w:uiPriority w:val="99"/>
    <w:semiHidden/>
    <w:unhideWhenUsed/>
    <w:pPr>
      <w:pBdr/>
      <w:spacing/>
      <w:ind/>
    </w:pPr>
  </w:style>
  <w:style w:type="paragraph" w:styleId="663">
    <w:name w:val="Standard"/>
    <w:next w:val="663"/>
    <w:link w:val="659"/>
    <w:pPr>
      <w:pBdr/>
      <w:spacing/>
      <w:ind/>
    </w:pPr>
    <w:rPr>
      <w:sz w:val="24"/>
      <w:szCs w:val="24"/>
      <w:lang w:val="en-US" w:eastAsia="zh-CN" w:bidi="hi-IN"/>
    </w:rPr>
  </w:style>
  <w:style w:type="paragraph" w:styleId="664">
    <w:name w:val="Heading"/>
    <w:basedOn w:val="663"/>
    <w:next w:val="665"/>
    <w:link w:val="659"/>
    <w:pPr>
      <w:keepNext w:val="true"/>
      <w:pBdr/>
      <w:spacing w:after="120" w:before="240"/>
      <w:ind/>
    </w:pPr>
    <w:rPr>
      <w:rFonts w:ascii="Liberation Sans" w:hAnsi="Liberation Sans" w:eastAsia="AR PL SungtiL GB" w:cs="Lohit Devanagari"/>
      <w:sz w:val="28"/>
      <w:szCs w:val="28"/>
    </w:rPr>
  </w:style>
  <w:style w:type="paragraph" w:styleId="665">
    <w:name w:val="Text body"/>
    <w:basedOn w:val="663"/>
    <w:next w:val="665"/>
    <w:link w:val="659"/>
    <w:pPr>
      <w:pBdr/>
      <w:spacing w:after="140" w:before="0" w:line="276" w:lineRule="auto"/>
      <w:ind/>
    </w:pPr>
  </w:style>
  <w:style w:type="paragraph" w:styleId="666">
    <w:name w:val="Elenco"/>
    <w:basedOn w:val="665"/>
    <w:next w:val="666"/>
    <w:link w:val="659"/>
    <w:pPr>
      <w:pBdr/>
      <w:spacing/>
      <w:ind/>
    </w:pPr>
    <w:rPr>
      <w:rFonts w:cs="Lohit Devanagari"/>
      <w:sz w:val="24"/>
    </w:rPr>
  </w:style>
  <w:style w:type="paragraph" w:styleId="667">
    <w:name w:val="Didascalia"/>
    <w:basedOn w:val="663"/>
    <w:next w:val="667"/>
    <w:link w:val="659"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668">
    <w:name w:val="Index"/>
    <w:basedOn w:val="663"/>
    <w:next w:val="668"/>
    <w:link w:val="659"/>
    <w:pPr>
      <w:suppressLineNumbers w:val="true"/>
      <w:pBdr/>
      <w:spacing/>
      <w:ind/>
    </w:pPr>
    <w:rPr>
      <w:rFonts w:cs="Lohit Devanagari"/>
      <w:sz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>JRC DIR.D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Pierucci</dc:creator>
  <cp:revision>4</cp:revision>
  <dcterms:created xsi:type="dcterms:W3CDTF">2024-09-03T07:49:00Z</dcterms:created>
  <dcterms:modified xsi:type="dcterms:W3CDTF">2025-08-27T13:09:44Z</dcterms:modified>
  <cp:version>1048576</cp:version>
</cp:coreProperties>
</file>