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9561B" w14:textId="77777777" w:rsidR="00E1768B" w:rsidRPr="00E1768B" w:rsidRDefault="00E1768B" w:rsidP="00E1768B">
      <w:r w:rsidRPr="00E1768B">
        <w:t>Sterling Oak Wealth Partners: Business Continuity &amp; Disaster Recovery Plan 2026</w:t>
      </w:r>
    </w:p>
    <w:p w14:paraId="15292B71" w14:textId="77777777" w:rsidR="00E1768B" w:rsidRPr="00E1768B" w:rsidRDefault="00E1768B" w:rsidP="00E1768B">
      <w:r w:rsidRPr="00E1768B">
        <w:t>1. Purpose &amp; Scope</w:t>
      </w:r>
    </w:p>
    <w:p w14:paraId="67745B86" w14:textId="77777777" w:rsidR="00E1768B" w:rsidRPr="00E1768B" w:rsidRDefault="00E1768B" w:rsidP="00E1768B">
      <w:r w:rsidRPr="00E1768B">
        <w:t>The Sterling Oak Business Continuity and Disaster Recovery (BCDR) Plan outlines the strategies, protocols, and technical architecture required to maintain critical business operations during disruptive events. This plan covers all physical offices, cloud infrastructure, trading platforms, and employee communications. The Chief Operating Officer (COO), Marcus Thorne, serves as the primary BCDR Commander and holds ultimate authority to declare a disaster event.</w:t>
      </w:r>
    </w:p>
    <w:p w14:paraId="75E81CD6" w14:textId="77777777" w:rsidR="00E1768B" w:rsidRPr="00E1768B" w:rsidRDefault="00E1768B" w:rsidP="00E1768B"/>
    <w:p w14:paraId="64A732EE" w14:textId="77777777" w:rsidR="00E1768B" w:rsidRPr="00E1768B" w:rsidRDefault="00E1768B" w:rsidP="00E1768B">
      <w:r w:rsidRPr="00E1768B">
        <w:t>2. Cloud Architecture &amp; Infrastructure Redundancy</w:t>
      </w:r>
    </w:p>
    <w:p w14:paraId="7D59B198" w14:textId="77777777" w:rsidR="00E1768B" w:rsidRPr="00E1768B" w:rsidRDefault="00E1768B" w:rsidP="00E1768B">
      <w:r w:rsidRPr="00E1768B">
        <w:t xml:space="preserve">Sterling Oak operates a 100% cloud-native infrastructure, eliminating reliance on vulnerable on-premises data </w:t>
      </w:r>
      <w:proofErr w:type="spellStart"/>
      <w:r w:rsidRPr="00E1768B">
        <w:t>centers</w:t>
      </w:r>
      <w:proofErr w:type="spellEnd"/>
      <w:r w:rsidRPr="00E1768B">
        <w:t>. To ensure maximum uptime, we utilize a multi-cloud, Active-Active redundancy strategy.</w:t>
      </w:r>
    </w:p>
    <w:p w14:paraId="74FF0BF4" w14:textId="77777777" w:rsidR="00E1768B" w:rsidRPr="00E1768B" w:rsidRDefault="00E1768B" w:rsidP="00E1768B"/>
    <w:p w14:paraId="777A73AB" w14:textId="77777777" w:rsidR="00E1768B" w:rsidRPr="00E1768B" w:rsidRDefault="00E1768B" w:rsidP="00E1768B">
      <w:r w:rsidRPr="00E1768B">
        <w:t>Primary Environment: Amazon Web Services (AWS) hosted in the US-East-1 (North Virginia) region.</w:t>
      </w:r>
    </w:p>
    <w:p w14:paraId="2FB453D8" w14:textId="77777777" w:rsidR="00E1768B" w:rsidRPr="00E1768B" w:rsidRDefault="00E1768B" w:rsidP="00E1768B"/>
    <w:p w14:paraId="34014E86" w14:textId="77777777" w:rsidR="00E1768B" w:rsidRPr="00E1768B" w:rsidRDefault="00E1768B" w:rsidP="00E1768B">
      <w:r w:rsidRPr="00E1768B">
        <w:t>Secondary/Failover Environment: Microsoft Azure hosted in the East US (Virginia) region.</w:t>
      </w:r>
    </w:p>
    <w:p w14:paraId="312E4857" w14:textId="77777777" w:rsidR="00E1768B" w:rsidRPr="00E1768B" w:rsidRDefault="00E1768B" w:rsidP="00E1768B"/>
    <w:p w14:paraId="579A0D64" w14:textId="77777777" w:rsidR="00E1768B" w:rsidRPr="00E1768B" w:rsidRDefault="00E1768B" w:rsidP="00E1768B">
      <w:r w:rsidRPr="00E1768B">
        <w:t>In the event of a catastrophic failure at AWS, the firm's global load balancers automatically route all client portal traffic, API requests, and internal trading systems to the Azure environment. This automated failover requires zero manual intervention and is designed to execute within 90 seconds of a detected primary node failure.</w:t>
      </w:r>
    </w:p>
    <w:p w14:paraId="4C00A2B9" w14:textId="77777777" w:rsidR="00E1768B" w:rsidRPr="00E1768B" w:rsidRDefault="00E1768B" w:rsidP="00E1768B"/>
    <w:p w14:paraId="4F6F748A" w14:textId="77777777" w:rsidR="00E1768B" w:rsidRPr="00E1768B" w:rsidRDefault="00E1768B" w:rsidP="00E1768B">
      <w:r w:rsidRPr="00E1768B">
        <w:t>3. Recovery Objectives (RTO &amp; RPO)</w:t>
      </w:r>
    </w:p>
    <w:p w14:paraId="01D6AA1A" w14:textId="77777777" w:rsidR="00E1768B" w:rsidRPr="00E1768B" w:rsidRDefault="00E1768B" w:rsidP="00E1768B">
      <w:r w:rsidRPr="00E1768B">
        <w:t>Sterling Oak classifies its systems into tiers to prioritize recovery efforts.</w:t>
      </w:r>
    </w:p>
    <w:p w14:paraId="2348645D" w14:textId="77777777" w:rsidR="00E1768B" w:rsidRPr="00E1768B" w:rsidRDefault="00E1768B" w:rsidP="00E1768B"/>
    <w:p w14:paraId="2B3F111D" w14:textId="77777777" w:rsidR="00E1768B" w:rsidRPr="00E1768B" w:rsidRDefault="00E1768B" w:rsidP="00E1768B">
      <w:r w:rsidRPr="00E1768B">
        <w:t>Tier 1 Systems (Mission Critical): Includes the Order Management System (OMS), Client Web Portal, and secure SFTP servers.</w:t>
      </w:r>
    </w:p>
    <w:p w14:paraId="2D806166" w14:textId="77777777" w:rsidR="00E1768B" w:rsidRPr="00E1768B" w:rsidRDefault="00E1768B" w:rsidP="00E1768B"/>
    <w:p w14:paraId="3125540E" w14:textId="77777777" w:rsidR="00E1768B" w:rsidRPr="00E1768B" w:rsidRDefault="00E1768B" w:rsidP="00E1768B">
      <w:r w:rsidRPr="00E1768B">
        <w:t>Recovery Time Objective (RTO): 2 hours. (The maximum acceptable downtime).</w:t>
      </w:r>
    </w:p>
    <w:p w14:paraId="00167A4D" w14:textId="77777777" w:rsidR="00E1768B" w:rsidRPr="00E1768B" w:rsidRDefault="00E1768B" w:rsidP="00E1768B"/>
    <w:p w14:paraId="795E8DF2" w14:textId="77777777" w:rsidR="00E1768B" w:rsidRPr="00E1768B" w:rsidRDefault="00E1768B" w:rsidP="00E1768B">
      <w:r w:rsidRPr="00E1768B">
        <w:t>Recovery Point Objective (RPO): 15 minutes. (The maximum acceptable data loss, achieved via continuous asynchronous database replication).</w:t>
      </w:r>
    </w:p>
    <w:p w14:paraId="3B78830A" w14:textId="77777777" w:rsidR="00E1768B" w:rsidRPr="00E1768B" w:rsidRDefault="00E1768B" w:rsidP="00E1768B"/>
    <w:p w14:paraId="1947DD25" w14:textId="77777777" w:rsidR="00E1768B" w:rsidRPr="00E1768B" w:rsidRDefault="00E1768B" w:rsidP="00E1768B">
      <w:r w:rsidRPr="00E1768B">
        <w:t>Tier 2 Systems (Business Essential): Includes internal HR systems, historical reporting archives, and CRM tools.</w:t>
      </w:r>
    </w:p>
    <w:p w14:paraId="74FB84FE" w14:textId="77777777" w:rsidR="00E1768B" w:rsidRPr="00E1768B" w:rsidRDefault="00E1768B" w:rsidP="00E1768B"/>
    <w:p w14:paraId="7029F916" w14:textId="77777777" w:rsidR="00E1768B" w:rsidRPr="00E1768B" w:rsidRDefault="00E1768B" w:rsidP="00E1768B">
      <w:r w:rsidRPr="00E1768B">
        <w:t>RTO: 24 hours.</w:t>
      </w:r>
    </w:p>
    <w:p w14:paraId="1545A1BA" w14:textId="77777777" w:rsidR="00E1768B" w:rsidRPr="00E1768B" w:rsidRDefault="00E1768B" w:rsidP="00E1768B"/>
    <w:p w14:paraId="2B5A233B" w14:textId="77777777" w:rsidR="00E1768B" w:rsidRPr="00E1768B" w:rsidRDefault="00E1768B" w:rsidP="00E1768B">
      <w:r w:rsidRPr="00E1768B">
        <w:t>RPO: 12 hours.</w:t>
      </w:r>
    </w:p>
    <w:p w14:paraId="3C064CED" w14:textId="77777777" w:rsidR="00E1768B" w:rsidRPr="00E1768B" w:rsidRDefault="00E1768B" w:rsidP="00E1768B"/>
    <w:p w14:paraId="58C1E64E" w14:textId="77777777" w:rsidR="00E1768B" w:rsidRPr="00E1768B" w:rsidRDefault="00E1768B" w:rsidP="00E1768B">
      <w:r w:rsidRPr="00E1768B">
        <w:t>4. Backup &amp; Retention Operations</w:t>
      </w:r>
    </w:p>
    <w:p w14:paraId="21AD1FBF" w14:textId="77777777" w:rsidR="00E1768B" w:rsidRPr="00E1768B" w:rsidRDefault="00E1768B" w:rsidP="00E1768B">
      <w:r w:rsidRPr="00E1768B">
        <w:t>To protect against ransomware and data corruption, Sterling Oak enforces a strict immutable backup strategy.</w:t>
      </w:r>
    </w:p>
    <w:p w14:paraId="09A79AF6" w14:textId="77777777" w:rsidR="00E1768B" w:rsidRPr="00E1768B" w:rsidRDefault="00E1768B" w:rsidP="00E1768B"/>
    <w:p w14:paraId="7DF08829" w14:textId="77777777" w:rsidR="00E1768B" w:rsidRPr="00E1768B" w:rsidRDefault="00E1768B" w:rsidP="00E1768B">
      <w:r w:rsidRPr="00E1768B">
        <w:t>All Tier 1 system databases are backed up every 15 minutes. Daily full-system snapshots are taken at 23:59 EST.</w:t>
      </w:r>
    </w:p>
    <w:p w14:paraId="0FA480F6" w14:textId="77777777" w:rsidR="00E1768B" w:rsidRPr="00E1768B" w:rsidRDefault="00E1768B" w:rsidP="00E1768B"/>
    <w:p w14:paraId="34F41EC8" w14:textId="77777777" w:rsidR="00E1768B" w:rsidRPr="00E1768B" w:rsidRDefault="00E1768B" w:rsidP="00E1768B">
      <w:r w:rsidRPr="00E1768B">
        <w:t>Backups are written to AWS S3 buckets with Object Lock enabled in compliance mode. This physically prevents any user, including system administrators, from deleting or modifying the backup files for a period of 90 days.</w:t>
      </w:r>
    </w:p>
    <w:p w14:paraId="144DA817" w14:textId="77777777" w:rsidR="00E1768B" w:rsidRPr="00E1768B" w:rsidRDefault="00E1768B" w:rsidP="00E1768B"/>
    <w:p w14:paraId="02362E23" w14:textId="77777777" w:rsidR="00E1768B" w:rsidRPr="00E1768B" w:rsidRDefault="00E1768B" w:rsidP="00E1768B">
      <w:r w:rsidRPr="00E1768B">
        <w:t xml:space="preserve">To comply with SEC Rule 204-2, all electronic communications (emails, Teams messages) and daily trade reconciliation files are archived in a separate, Write-Once-Read-Many (WORM) compliant </w:t>
      </w:r>
      <w:proofErr w:type="gramStart"/>
      <w:r w:rsidRPr="00E1768B">
        <w:t>vault</w:t>
      </w:r>
      <w:proofErr w:type="gramEnd"/>
      <w:r w:rsidRPr="00E1768B">
        <w:t xml:space="preserve"> with a mandatory retention period of 7 years.</w:t>
      </w:r>
    </w:p>
    <w:p w14:paraId="73949588" w14:textId="77777777" w:rsidR="00E1768B" w:rsidRPr="00E1768B" w:rsidRDefault="00E1768B" w:rsidP="00E1768B"/>
    <w:p w14:paraId="263971AE" w14:textId="77777777" w:rsidR="00E1768B" w:rsidRPr="00E1768B" w:rsidRDefault="00E1768B" w:rsidP="00E1768B">
      <w:r w:rsidRPr="00E1768B">
        <w:t>5. BCDR Testing &amp; Employee Training</w:t>
      </w:r>
    </w:p>
    <w:p w14:paraId="04CAE094" w14:textId="77777777" w:rsidR="00E1768B" w:rsidRPr="00E1768B" w:rsidRDefault="00E1768B" w:rsidP="00E1768B">
      <w:r w:rsidRPr="00E1768B">
        <w:t>A BCDR plan is only as effective as its most recent test. Sterling Oak mandates rigorous and frequent testing of all failover protocols.</w:t>
      </w:r>
    </w:p>
    <w:p w14:paraId="7616425D" w14:textId="77777777" w:rsidR="00E1768B" w:rsidRPr="00E1768B" w:rsidRDefault="00E1768B" w:rsidP="00E1768B"/>
    <w:p w14:paraId="4EFCD741" w14:textId="77777777" w:rsidR="00E1768B" w:rsidRPr="00E1768B" w:rsidRDefault="00E1768B" w:rsidP="00E1768B">
      <w:r w:rsidRPr="00E1768B">
        <w:t>Tabletop Exercises: Conducted semi-annually (every 6 months) with all department heads to simulate various crisis scenarios, including cyber-attacks, physical office inaccessibility, and regional ISP outages.</w:t>
      </w:r>
    </w:p>
    <w:p w14:paraId="54DAC0FD" w14:textId="77777777" w:rsidR="00E1768B" w:rsidRPr="00E1768B" w:rsidRDefault="00E1768B" w:rsidP="00E1768B"/>
    <w:p w14:paraId="672A84B9" w14:textId="77777777" w:rsidR="00E1768B" w:rsidRPr="00E1768B" w:rsidRDefault="00E1768B" w:rsidP="00E1768B">
      <w:r w:rsidRPr="00E1768B">
        <w:t>Full Infrastructure Failover Test: Conducted annually. The primary AWS environment is intentionally severed to verify the automated failover to Azure. The most recent full failover test was successfully completed on November 12, 2025, with an actual RTO achieved of 42 minutes, well below the 2-hour SLA.</w:t>
      </w:r>
    </w:p>
    <w:p w14:paraId="65328CBD" w14:textId="77777777" w:rsidR="00E1768B" w:rsidRPr="00E1768B" w:rsidRDefault="00E1768B" w:rsidP="00E1768B"/>
    <w:p w14:paraId="5F4E1F33" w14:textId="77777777" w:rsidR="00E1768B" w:rsidRPr="00E1768B" w:rsidRDefault="00E1768B" w:rsidP="00E1768B">
      <w:r w:rsidRPr="00E1768B">
        <w:t>6. Physical Office Continuity</w:t>
      </w:r>
    </w:p>
    <w:p w14:paraId="530FE0FC" w14:textId="77777777" w:rsidR="00E1768B" w:rsidRPr="00E1768B" w:rsidRDefault="00E1768B" w:rsidP="00E1768B">
      <w:r w:rsidRPr="00E1768B">
        <w:t>While infrastructure is cloud-based, human capital requires continuity planning. If the New York City headquarters becomes inaccessible:</w:t>
      </w:r>
    </w:p>
    <w:p w14:paraId="23370E3F" w14:textId="77777777" w:rsidR="00E1768B" w:rsidRPr="00E1768B" w:rsidRDefault="00E1768B" w:rsidP="00E1768B"/>
    <w:p w14:paraId="122A538B" w14:textId="77777777" w:rsidR="00E1768B" w:rsidRPr="00E1768B" w:rsidRDefault="00E1768B" w:rsidP="00E1768B">
      <w:r w:rsidRPr="00E1768B">
        <w:t>All employees are issued pre-configured corporate laptops equipped with endpoint VPNs.</w:t>
      </w:r>
    </w:p>
    <w:p w14:paraId="7CD3A800" w14:textId="77777777" w:rsidR="00E1768B" w:rsidRPr="00E1768B" w:rsidRDefault="00E1768B" w:rsidP="00E1768B"/>
    <w:p w14:paraId="1A77FF35" w14:textId="5EE10428" w:rsidR="00173ED5" w:rsidRDefault="00E1768B" w:rsidP="00E1768B">
      <w:r w:rsidRPr="00E1768B">
        <w:t>The firm maintains a localized emergency notification system (Everbridge) that will dispatch SMS and automated voice calls to all staff within 10 minutes of a disaster declaration, providing remote-work authorization and status updates.</w:t>
      </w:r>
    </w:p>
    <w:sectPr w:rsidR="00173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1AB"/>
    <w:rsid w:val="000D0D78"/>
    <w:rsid w:val="00173ED5"/>
    <w:rsid w:val="005E21AB"/>
    <w:rsid w:val="00A24B51"/>
    <w:rsid w:val="00C03E68"/>
    <w:rsid w:val="00C05DA8"/>
    <w:rsid w:val="00DE089F"/>
    <w:rsid w:val="00E17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7BA41"/>
  <w15:chartTrackingRefBased/>
  <w15:docId w15:val="{496C0E4D-2572-4BB1-8465-0357D30C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2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21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1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1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1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21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21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1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1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1AB"/>
    <w:rPr>
      <w:rFonts w:eastAsiaTheme="majorEastAsia" w:cstheme="majorBidi"/>
      <w:color w:val="272727" w:themeColor="text1" w:themeTint="D8"/>
    </w:rPr>
  </w:style>
  <w:style w:type="paragraph" w:styleId="Title">
    <w:name w:val="Title"/>
    <w:basedOn w:val="Normal"/>
    <w:next w:val="Normal"/>
    <w:link w:val="TitleChar"/>
    <w:uiPriority w:val="10"/>
    <w:qFormat/>
    <w:rsid w:val="005E2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1AB"/>
    <w:pPr>
      <w:spacing w:before="160"/>
      <w:jc w:val="center"/>
    </w:pPr>
    <w:rPr>
      <w:i/>
      <w:iCs/>
      <w:color w:val="404040" w:themeColor="text1" w:themeTint="BF"/>
    </w:rPr>
  </w:style>
  <w:style w:type="character" w:customStyle="1" w:styleId="QuoteChar">
    <w:name w:val="Quote Char"/>
    <w:basedOn w:val="DefaultParagraphFont"/>
    <w:link w:val="Quote"/>
    <w:uiPriority w:val="29"/>
    <w:rsid w:val="005E21AB"/>
    <w:rPr>
      <w:i/>
      <w:iCs/>
      <w:color w:val="404040" w:themeColor="text1" w:themeTint="BF"/>
    </w:rPr>
  </w:style>
  <w:style w:type="paragraph" w:styleId="ListParagraph">
    <w:name w:val="List Paragraph"/>
    <w:basedOn w:val="Normal"/>
    <w:uiPriority w:val="34"/>
    <w:qFormat/>
    <w:rsid w:val="005E21AB"/>
    <w:pPr>
      <w:ind w:left="720"/>
      <w:contextualSpacing/>
    </w:pPr>
  </w:style>
  <w:style w:type="character" w:styleId="IntenseEmphasis">
    <w:name w:val="Intense Emphasis"/>
    <w:basedOn w:val="DefaultParagraphFont"/>
    <w:uiPriority w:val="21"/>
    <w:qFormat/>
    <w:rsid w:val="005E21AB"/>
    <w:rPr>
      <w:i/>
      <w:iCs/>
      <w:color w:val="2F5496" w:themeColor="accent1" w:themeShade="BF"/>
    </w:rPr>
  </w:style>
  <w:style w:type="paragraph" w:styleId="IntenseQuote">
    <w:name w:val="Intense Quote"/>
    <w:basedOn w:val="Normal"/>
    <w:next w:val="Normal"/>
    <w:link w:val="IntenseQuoteChar"/>
    <w:uiPriority w:val="30"/>
    <w:qFormat/>
    <w:rsid w:val="005E2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1AB"/>
    <w:rPr>
      <w:i/>
      <w:iCs/>
      <w:color w:val="2F5496" w:themeColor="accent1" w:themeShade="BF"/>
    </w:rPr>
  </w:style>
  <w:style w:type="character" w:styleId="IntenseReference">
    <w:name w:val="Intense Reference"/>
    <w:basedOn w:val="DefaultParagraphFont"/>
    <w:uiPriority w:val="32"/>
    <w:qFormat/>
    <w:rsid w:val="005E21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E</dc:creator>
  <cp:keywords/>
  <dc:description/>
  <cp:lastModifiedBy>Jay E</cp:lastModifiedBy>
  <cp:revision>2</cp:revision>
  <dcterms:created xsi:type="dcterms:W3CDTF">2026-03-03T17:13:00Z</dcterms:created>
  <dcterms:modified xsi:type="dcterms:W3CDTF">2026-03-03T17:14:00Z</dcterms:modified>
</cp:coreProperties>
</file>