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18FC" w14:textId="77777777" w:rsidR="005F5D6B" w:rsidRPr="005F5D6B" w:rsidRDefault="005F5D6B" w:rsidP="005F5D6B">
      <w:pPr>
        <w:rPr>
          <w:b/>
          <w:bCs/>
        </w:rPr>
      </w:pPr>
      <w:r w:rsidRPr="005F5D6B">
        <w:rPr>
          <w:b/>
          <w:bCs/>
        </w:rPr>
        <w:t>Sterling Oak Wealth Partners: Firm Overview &amp; Investment Philosophy 2026</w:t>
      </w:r>
    </w:p>
    <w:p w14:paraId="7891718E" w14:textId="77777777" w:rsidR="005F5D6B" w:rsidRPr="005F5D6B" w:rsidRDefault="005F5D6B" w:rsidP="005F5D6B">
      <w:pPr>
        <w:rPr>
          <w:b/>
          <w:bCs/>
        </w:rPr>
      </w:pPr>
      <w:r w:rsidRPr="005F5D6B">
        <w:rPr>
          <w:b/>
          <w:bCs/>
        </w:rPr>
        <w:t>1. Corporate Profile &amp; Ownership Structure</w:t>
      </w:r>
    </w:p>
    <w:p w14:paraId="7EBE5802" w14:textId="77777777" w:rsidR="005F5D6B" w:rsidRPr="005F5D6B" w:rsidRDefault="005F5D6B" w:rsidP="005F5D6B">
      <w:r w:rsidRPr="005F5D6B">
        <w:t>Sterling Oak Wealth Partners ("Sterling Oak") is an independent, boutique institutional asset management firm established in 2012. We specialize exclusively in actively managed fixed-income portfolios tailored for pension funds, university endowments, and sovereign wealth entities.</w:t>
      </w:r>
    </w:p>
    <w:p w14:paraId="674335A4" w14:textId="77777777" w:rsidR="005F5D6B" w:rsidRPr="005F5D6B" w:rsidRDefault="005F5D6B" w:rsidP="005F5D6B">
      <w:r w:rsidRPr="005F5D6B">
        <w:t>As of December 31, 2025, Sterling Oak manages $14.2 billion in total Assets Under Management (AUM). The firm is headquartered in New York City, with primary trading desks and research offices located in London and Singapore to ensure 24/5 global market coverage.</w:t>
      </w:r>
    </w:p>
    <w:p w14:paraId="186DCA98" w14:textId="77777777" w:rsidR="005F5D6B" w:rsidRPr="005F5D6B" w:rsidRDefault="005F5D6B" w:rsidP="005F5D6B">
      <w:r w:rsidRPr="005F5D6B">
        <w:t>To align our interests completely with our clients, Sterling Oak operates under a 100% employee-owned partnership model. No single partner owns more than 15% of the firm's equity, ensuring distributed decision-making and long-term stability. The firm has zero debt on its corporate balance sheet and maintains a minimum of 18 months of operating capital in highly liquid cash equivalents at all times.</w:t>
      </w:r>
    </w:p>
    <w:p w14:paraId="4701DFEB" w14:textId="77777777" w:rsidR="005F5D6B" w:rsidRPr="005F5D6B" w:rsidRDefault="005F5D6B" w:rsidP="005F5D6B">
      <w:pPr>
        <w:rPr>
          <w:b/>
          <w:bCs/>
        </w:rPr>
      </w:pPr>
      <w:r w:rsidRPr="005F5D6B">
        <w:rPr>
          <w:b/>
          <w:bCs/>
        </w:rPr>
        <w:t>2. Core Investment Philosophy</w:t>
      </w:r>
    </w:p>
    <w:p w14:paraId="2DF804C7" w14:textId="77777777" w:rsidR="005F5D6B" w:rsidRPr="005F5D6B" w:rsidRDefault="005F5D6B" w:rsidP="005F5D6B">
      <w:r w:rsidRPr="005F5D6B">
        <w:t xml:space="preserve">Our central mandate is </w:t>
      </w:r>
      <w:r w:rsidRPr="005F5D6B">
        <w:rPr>
          <w:b/>
          <w:bCs/>
        </w:rPr>
        <w:t>Capital Preservation First</w:t>
      </w:r>
      <w:r w:rsidRPr="005F5D6B">
        <w:t>. We believe that in the fixed-income space, avoiding permanent capital impairment is statistically more critical to long-term compounding than reaching for marginal yield.</w:t>
      </w:r>
    </w:p>
    <w:p w14:paraId="1EDC07EF" w14:textId="77777777" w:rsidR="005F5D6B" w:rsidRPr="005F5D6B" w:rsidRDefault="005F5D6B" w:rsidP="005F5D6B">
      <w:r w:rsidRPr="005F5D6B">
        <w:t>Our portfolio construction is driven by a proprietary "Macro-to-Micro" framework:</w:t>
      </w:r>
    </w:p>
    <w:p w14:paraId="7A2913CB" w14:textId="77777777" w:rsidR="005F5D6B" w:rsidRPr="005F5D6B" w:rsidRDefault="005F5D6B" w:rsidP="005F5D6B">
      <w:pPr>
        <w:numPr>
          <w:ilvl w:val="0"/>
          <w:numId w:val="1"/>
        </w:numPr>
      </w:pPr>
      <w:r w:rsidRPr="005F5D6B">
        <w:rPr>
          <w:b/>
          <w:bCs/>
        </w:rPr>
        <w:t>Macro-Economic Positioning:</w:t>
      </w:r>
      <w:r w:rsidRPr="005F5D6B">
        <w:t xml:space="preserve"> Our Investment Committee sets the firm-wide duration targets and yield-curve positioning based on proprietary inflation-forecasting models and central bank policy analysis. We actively manage duration within a +/- </w:t>
      </w:r>
      <w:proofErr w:type="gramStart"/>
      <w:r w:rsidRPr="005F5D6B">
        <w:t>1.5 year</w:t>
      </w:r>
      <w:proofErr w:type="gramEnd"/>
      <w:r w:rsidRPr="005F5D6B">
        <w:t xml:space="preserve"> band relative to the client's chosen benchmark (e.g., Bloomberg Global Aggregate Bond Index).</w:t>
      </w:r>
    </w:p>
    <w:p w14:paraId="14E946E3" w14:textId="77777777" w:rsidR="005F5D6B" w:rsidRPr="005F5D6B" w:rsidRDefault="005F5D6B" w:rsidP="005F5D6B">
      <w:pPr>
        <w:numPr>
          <w:ilvl w:val="0"/>
          <w:numId w:val="1"/>
        </w:numPr>
      </w:pPr>
      <w:r w:rsidRPr="005F5D6B">
        <w:rPr>
          <w:b/>
          <w:bCs/>
        </w:rPr>
        <w:t>Micro-Credit Analysis:</w:t>
      </w:r>
      <w:r w:rsidRPr="005F5D6B">
        <w:t xml:space="preserve"> We do not rely solely on external rating agencies (S&amp;P, Moody's, Fitch). Every corporate bond considered for inclusion must pass our internal 40-point credit underwriting process, focusing heavily on free cash flow generation, debt-service coverage ratios, and tangible asset backing.</w:t>
      </w:r>
    </w:p>
    <w:p w14:paraId="54513AEB" w14:textId="77777777" w:rsidR="005F5D6B" w:rsidRPr="005F5D6B" w:rsidRDefault="005F5D6B" w:rsidP="005F5D6B">
      <w:r w:rsidRPr="005F5D6B">
        <w:t>We invest primarily in investment-grade corporate debt, sovereign bonds, and high-quality securitized assets (AAA-rated MBS/ABS). High-yield (junk) bonds are strictly limited to a maximum of 5% of any portfolio, and only as "fallen angels" (bonds downgraded after purchase) rather than intentional allocations.</w:t>
      </w:r>
    </w:p>
    <w:p w14:paraId="4B4E3C03" w14:textId="77777777" w:rsidR="005F5D6B" w:rsidRPr="005F5D6B" w:rsidRDefault="005F5D6B" w:rsidP="005F5D6B">
      <w:pPr>
        <w:rPr>
          <w:b/>
          <w:bCs/>
        </w:rPr>
      </w:pPr>
      <w:r w:rsidRPr="005F5D6B">
        <w:rPr>
          <w:b/>
          <w:bCs/>
        </w:rPr>
        <w:t>3. Environmental, Social, and Governance (ESG) Integration</w:t>
      </w:r>
    </w:p>
    <w:p w14:paraId="1361157C" w14:textId="77777777" w:rsidR="005F5D6B" w:rsidRPr="005F5D6B" w:rsidRDefault="005F5D6B" w:rsidP="005F5D6B">
      <w:r w:rsidRPr="005F5D6B">
        <w:t>Sterling Oak is a signatory to the UN Principles for Responsible Investment (UNPRI). We view ESG factors not as a moral overlay, but as critical, quantifiable components of long-term credit risk.</w:t>
      </w:r>
    </w:p>
    <w:p w14:paraId="0E81FA16" w14:textId="77777777" w:rsidR="005F5D6B" w:rsidRPr="005F5D6B" w:rsidRDefault="005F5D6B" w:rsidP="005F5D6B">
      <w:r w:rsidRPr="005F5D6B">
        <w:t>We utilize a proprietary "Resilience Score" for every corporate issuer. Furthermore, the firm maintains strict exclusionary screens. We categorically will not invest in the debt securities of companies where more than 10% of their gross revenue is derived from:</w:t>
      </w:r>
    </w:p>
    <w:p w14:paraId="2B63CEC6" w14:textId="77777777" w:rsidR="005F5D6B" w:rsidRPr="005F5D6B" w:rsidRDefault="005F5D6B" w:rsidP="005F5D6B">
      <w:pPr>
        <w:numPr>
          <w:ilvl w:val="0"/>
          <w:numId w:val="2"/>
        </w:numPr>
      </w:pPr>
      <w:r w:rsidRPr="005F5D6B">
        <w:t>The extraction or refinement of thermal coal.</w:t>
      </w:r>
    </w:p>
    <w:p w14:paraId="2F003EEC" w14:textId="77777777" w:rsidR="005F5D6B" w:rsidRPr="005F5D6B" w:rsidRDefault="005F5D6B" w:rsidP="005F5D6B">
      <w:pPr>
        <w:numPr>
          <w:ilvl w:val="0"/>
          <w:numId w:val="2"/>
        </w:numPr>
      </w:pPr>
      <w:r w:rsidRPr="005F5D6B">
        <w:t>The manufacture or distribution of controversial weapons (including cluster munitions and biological weapons).</w:t>
      </w:r>
    </w:p>
    <w:p w14:paraId="377AB808" w14:textId="77777777" w:rsidR="005F5D6B" w:rsidRPr="005F5D6B" w:rsidRDefault="005F5D6B" w:rsidP="005F5D6B">
      <w:pPr>
        <w:numPr>
          <w:ilvl w:val="0"/>
          <w:numId w:val="2"/>
        </w:numPr>
      </w:pPr>
      <w:r w:rsidRPr="005F5D6B">
        <w:lastRenderedPageBreak/>
        <w:t>Private prison operators.</w:t>
      </w:r>
    </w:p>
    <w:p w14:paraId="79F2CBA4" w14:textId="77777777" w:rsidR="005F5D6B" w:rsidRPr="005F5D6B" w:rsidRDefault="005F5D6B" w:rsidP="005F5D6B">
      <w:pPr>
        <w:rPr>
          <w:b/>
          <w:bCs/>
        </w:rPr>
      </w:pPr>
      <w:r w:rsidRPr="005F5D6B">
        <w:rPr>
          <w:b/>
          <w:bCs/>
        </w:rPr>
        <w:t>4. Liquidity &amp; Trading Execution</w:t>
      </w:r>
    </w:p>
    <w:p w14:paraId="727B5061" w14:textId="77777777" w:rsidR="005F5D6B" w:rsidRPr="005F5D6B" w:rsidRDefault="005F5D6B" w:rsidP="005F5D6B">
      <w:r w:rsidRPr="005F5D6B">
        <w:t>Sterling Oak maintains rigorous liquidity standards. We require that a minimum of 85% of any client portfolio must be capable of being liquidated into cash within 3 trading days (T+3) under normal market conditions without incurring a price impact greater than 20 basis points.</w:t>
      </w:r>
    </w:p>
    <w:p w14:paraId="7FC7988A" w14:textId="77777777" w:rsidR="005F5D6B" w:rsidRPr="005F5D6B" w:rsidRDefault="005F5D6B" w:rsidP="005F5D6B">
      <w:r w:rsidRPr="005F5D6B">
        <w:t>All trade executions are routed through our centralized trading desk. We utilize multi-dealer electronic trading platforms (such as MarketAxess and Tradeweb) to ensure best execution, requiring a minimum of three competitive quotes for any block trade exceeding $5 million in notional value.</w:t>
      </w:r>
    </w:p>
    <w:p w14:paraId="2733D75A" w14:textId="77777777" w:rsidR="005F5D6B" w:rsidRPr="005F5D6B" w:rsidRDefault="005F5D6B" w:rsidP="005F5D6B">
      <w:pPr>
        <w:rPr>
          <w:b/>
          <w:bCs/>
        </w:rPr>
      </w:pPr>
      <w:r w:rsidRPr="005F5D6B">
        <w:rPr>
          <w:b/>
          <w:bCs/>
        </w:rPr>
        <w:t>5. Client Reporting &amp; Transparency</w:t>
      </w:r>
    </w:p>
    <w:p w14:paraId="0AD95CDC" w14:textId="77777777" w:rsidR="005F5D6B" w:rsidRPr="005F5D6B" w:rsidRDefault="005F5D6B" w:rsidP="005F5D6B">
      <w:r w:rsidRPr="005F5D6B">
        <w:t>Transparency is a cornerstone of our fiduciary duty. Clients receive comprehensive reporting packages on a strict schedule:</w:t>
      </w:r>
    </w:p>
    <w:p w14:paraId="4FCC0A22" w14:textId="77777777" w:rsidR="005F5D6B" w:rsidRPr="005F5D6B" w:rsidRDefault="005F5D6B" w:rsidP="005F5D6B">
      <w:pPr>
        <w:numPr>
          <w:ilvl w:val="0"/>
          <w:numId w:val="3"/>
        </w:numPr>
      </w:pPr>
      <w:r w:rsidRPr="005F5D6B">
        <w:rPr>
          <w:b/>
          <w:bCs/>
        </w:rPr>
        <w:t>Daily:</w:t>
      </w:r>
      <w:r w:rsidRPr="005F5D6B">
        <w:t xml:space="preserve"> T+1 trade reconciliation files and end-of-day NAV (Net Asset Value) estimates are available via our secure SFTP server.</w:t>
      </w:r>
    </w:p>
    <w:p w14:paraId="61ADAC9E" w14:textId="77777777" w:rsidR="005F5D6B" w:rsidRPr="005F5D6B" w:rsidRDefault="005F5D6B" w:rsidP="005F5D6B">
      <w:pPr>
        <w:numPr>
          <w:ilvl w:val="0"/>
          <w:numId w:val="3"/>
        </w:numPr>
      </w:pPr>
      <w:r w:rsidRPr="005F5D6B">
        <w:rPr>
          <w:b/>
          <w:bCs/>
        </w:rPr>
        <w:t>Monthly:</w:t>
      </w:r>
      <w:r w:rsidRPr="005F5D6B">
        <w:t xml:space="preserve"> Detailed portfolio holding reports, attribution analysis, and compliance certification letters are delivered by the 5th business day of the following month.</w:t>
      </w:r>
    </w:p>
    <w:p w14:paraId="5EC40350" w14:textId="77777777" w:rsidR="005F5D6B" w:rsidRPr="005F5D6B" w:rsidRDefault="005F5D6B" w:rsidP="005F5D6B">
      <w:pPr>
        <w:numPr>
          <w:ilvl w:val="0"/>
          <w:numId w:val="3"/>
        </w:numPr>
      </w:pPr>
      <w:r w:rsidRPr="005F5D6B">
        <w:rPr>
          <w:b/>
          <w:bCs/>
        </w:rPr>
        <w:t>Quarterly:</w:t>
      </w:r>
      <w:r w:rsidRPr="005F5D6B">
        <w:t xml:space="preserve"> A comprehensive macroeconomic review and a 45-minute video conference with the assigned Portfolio Manager.</w:t>
      </w:r>
    </w:p>
    <w:p w14:paraId="20BFECB4" w14:textId="77777777" w:rsidR="005F5D6B" w:rsidRPr="005F5D6B" w:rsidRDefault="005F5D6B" w:rsidP="005F5D6B">
      <w:r w:rsidRPr="005F5D6B">
        <w:t>Clients also have 24/7 read-only access to their live portfolio analytics via the Sterling Oak Institutional Web Portal, which utilizes multi-factor authentication (MFA) and is SOC 2 Type II certified.</w:t>
      </w:r>
    </w:p>
    <w:p w14:paraId="7808AB67" w14:textId="77777777" w:rsidR="00173ED5" w:rsidRDefault="00173ED5"/>
    <w:sectPr w:rsidR="0017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07FBC"/>
    <w:multiLevelType w:val="multilevel"/>
    <w:tmpl w:val="4A4E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71D4E"/>
    <w:multiLevelType w:val="multilevel"/>
    <w:tmpl w:val="CFE66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3B0EEF"/>
    <w:multiLevelType w:val="multilevel"/>
    <w:tmpl w:val="3CD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08553">
    <w:abstractNumId w:val="0"/>
  </w:num>
  <w:num w:numId="2" w16cid:durableId="473136629">
    <w:abstractNumId w:val="1"/>
  </w:num>
  <w:num w:numId="3" w16cid:durableId="116054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6B"/>
    <w:rsid w:val="000D0D78"/>
    <w:rsid w:val="00173ED5"/>
    <w:rsid w:val="005F5D6B"/>
    <w:rsid w:val="00A24B51"/>
    <w:rsid w:val="00C03E68"/>
    <w:rsid w:val="00C05DA8"/>
    <w:rsid w:val="00D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A028"/>
  <w15:chartTrackingRefBased/>
  <w15:docId w15:val="{D22F92BD-22E6-4966-8F05-0E976119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E</dc:creator>
  <cp:keywords/>
  <dc:description/>
  <cp:lastModifiedBy>Jay E</cp:lastModifiedBy>
  <cp:revision>1</cp:revision>
  <dcterms:created xsi:type="dcterms:W3CDTF">2026-03-03T17:09:00Z</dcterms:created>
  <dcterms:modified xsi:type="dcterms:W3CDTF">2026-03-03T17:10:00Z</dcterms:modified>
</cp:coreProperties>
</file>