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C2455" w14:textId="77777777" w:rsidR="00077EB0" w:rsidRPr="00077EB0" w:rsidRDefault="00077EB0" w:rsidP="00077EB0">
      <w:pPr>
        <w:rPr>
          <w:b/>
          <w:bCs/>
        </w:rPr>
      </w:pPr>
      <w:r w:rsidRPr="00077EB0">
        <w:rPr>
          <w:b/>
          <w:bCs/>
        </w:rPr>
        <w:t>Sterling Oak Wealth Partners: Risk Management &amp; Regulatory Compliance Policy 2026</w:t>
      </w:r>
    </w:p>
    <w:p w14:paraId="092A91EC" w14:textId="77777777" w:rsidR="00077EB0" w:rsidRPr="00077EB0" w:rsidRDefault="00077EB0" w:rsidP="00077EB0">
      <w:pPr>
        <w:rPr>
          <w:b/>
          <w:bCs/>
        </w:rPr>
      </w:pPr>
      <w:r w:rsidRPr="00077EB0">
        <w:rPr>
          <w:b/>
          <w:bCs/>
        </w:rPr>
        <w:t>1. Regulatory Framework &amp; Registrations</w:t>
      </w:r>
    </w:p>
    <w:p w14:paraId="412CC853" w14:textId="77777777" w:rsidR="00077EB0" w:rsidRPr="00077EB0" w:rsidRDefault="00077EB0" w:rsidP="00077EB0">
      <w:r w:rsidRPr="00077EB0">
        <w:t>Sterling Oak Wealth Partners ("The Firm") operates in multiple global jurisdictions and adheres strictly to the regulatory frameworks of each region.</w:t>
      </w:r>
    </w:p>
    <w:p w14:paraId="6E0DFDD4" w14:textId="77777777" w:rsidR="00077EB0" w:rsidRPr="00077EB0" w:rsidRDefault="00077EB0" w:rsidP="00077EB0">
      <w:pPr>
        <w:numPr>
          <w:ilvl w:val="0"/>
          <w:numId w:val="1"/>
        </w:numPr>
      </w:pPr>
      <w:r w:rsidRPr="00077EB0">
        <w:rPr>
          <w:b/>
          <w:bCs/>
        </w:rPr>
        <w:t>United States:</w:t>
      </w:r>
      <w:r w:rsidRPr="00077EB0">
        <w:t xml:space="preserve"> The Firm is registered as an Investment Adviser with the Securities and Exchange Commission (SEC) under the Investment Advisers Act of 1940 (CRD#: 289410).</w:t>
      </w:r>
    </w:p>
    <w:p w14:paraId="29CF9A83" w14:textId="77777777" w:rsidR="00077EB0" w:rsidRPr="00077EB0" w:rsidRDefault="00077EB0" w:rsidP="00077EB0">
      <w:pPr>
        <w:numPr>
          <w:ilvl w:val="0"/>
          <w:numId w:val="1"/>
        </w:numPr>
      </w:pPr>
      <w:r w:rsidRPr="00077EB0">
        <w:rPr>
          <w:b/>
          <w:bCs/>
        </w:rPr>
        <w:t>United Kingdom:</w:t>
      </w:r>
      <w:r w:rsidRPr="00077EB0">
        <w:t xml:space="preserve"> Sterling Oak UK Ltd. is authorized and regulated by the Financial Conduct Authority (FCA), Firm Reference Number (FRN) 701442.</w:t>
      </w:r>
    </w:p>
    <w:p w14:paraId="1C676E08" w14:textId="77777777" w:rsidR="00077EB0" w:rsidRPr="00077EB0" w:rsidRDefault="00077EB0" w:rsidP="00077EB0">
      <w:pPr>
        <w:numPr>
          <w:ilvl w:val="0"/>
          <w:numId w:val="1"/>
        </w:numPr>
      </w:pPr>
      <w:r w:rsidRPr="00077EB0">
        <w:rPr>
          <w:b/>
          <w:bCs/>
        </w:rPr>
        <w:t>Singapore:</w:t>
      </w:r>
      <w:r w:rsidRPr="00077EB0">
        <w:t xml:space="preserve"> Sterling Oak APAC </w:t>
      </w:r>
      <w:proofErr w:type="spellStart"/>
      <w:r w:rsidRPr="00077EB0">
        <w:t>Pte.</w:t>
      </w:r>
      <w:proofErr w:type="spellEnd"/>
      <w:r w:rsidRPr="00077EB0">
        <w:t xml:space="preserve"> Ltd. holds a Capital Markets Services (CMS) license issued by the Monetary Authority of Singapore (MAS).</w:t>
      </w:r>
    </w:p>
    <w:p w14:paraId="46F4E599" w14:textId="77777777" w:rsidR="00077EB0" w:rsidRPr="00077EB0" w:rsidRDefault="00077EB0" w:rsidP="00077EB0">
      <w:r w:rsidRPr="00077EB0">
        <w:t>The Firm undergoes an annual independent compliance audit conducted by Deloitte LLP. The Chief Compliance Officer (CCO), Sarah Jenkins, maintains direct reporting lines to the Board of Directors, bypassing executive management to ensure impartial oversight.</w:t>
      </w:r>
    </w:p>
    <w:p w14:paraId="3C18FD5E" w14:textId="77777777" w:rsidR="00077EB0" w:rsidRPr="00077EB0" w:rsidRDefault="00077EB0" w:rsidP="00077EB0">
      <w:pPr>
        <w:rPr>
          <w:b/>
          <w:bCs/>
        </w:rPr>
      </w:pPr>
      <w:r w:rsidRPr="00077EB0">
        <w:rPr>
          <w:b/>
          <w:bCs/>
        </w:rPr>
        <w:t>2. Information Security &amp; Data Protection</w:t>
      </w:r>
    </w:p>
    <w:p w14:paraId="25BCD05F" w14:textId="77777777" w:rsidR="00077EB0" w:rsidRPr="00077EB0" w:rsidRDefault="00077EB0" w:rsidP="00077EB0">
      <w:r w:rsidRPr="00077EB0">
        <w:t xml:space="preserve">The Firm is committed to safeguarding client data and proprietary trading algorithms. Our Information Security Management System (ISMS) is certified against the </w:t>
      </w:r>
      <w:r w:rsidRPr="00077EB0">
        <w:rPr>
          <w:b/>
          <w:bCs/>
        </w:rPr>
        <w:t>ISO/IEC 27001:2022</w:t>
      </w:r>
      <w:r w:rsidRPr="00077EB0">
        <w:t xml:space="preserve"> standard.</w:t>
      </w:r>
    </w:p>
    <w:p w14:paraId="5792A274" w14:textId="77777777" w:rsidR="00077EB0" w:rsidRPr="00077EB0" w:rsidRDefault="00077EB0" w:rsidP="00077EB0">
      <w:pPr>
        <w:numPr>
          <w:ilvl w:val="0"/>
          <w:numId w:val="2"/>
        </w:numPr>
      </w:pPr>
      <w:r w:rsidRPr="00077EB0">
        <w:rPr>
          <w:b/>
          <w:bCs/>
        </w:rPr>
        <w:t>Data Encryption:</w:t>
      </w:r>
      <w:r w:rsidRPr="00077EB0">
        <w:t xml:space="preserve"> All sensitive client data, both at rest and in transit, is encrypted. Data at rest is secured using </w:t>
      </w:r>
      <w:r w:rsidRPr="00077EB0">
        <w:rPr>
          <w:b/>
          <w:bCs/>
        </w:rPr>
        <w:t>AES-256 encryption</w:t>
      </w:r>
      <w:r w:rsidRPr="00077EB0">
        <w:t xml:space="preserve"> on all server arrays and endpoint devices. Data in transit is protected using </w:t>
      </w:r>
      <w:r w:rsidRPr="00077EB0">
        <w:rPr>
          <w:b/>
          <w:bCs/>
        </w:rPr>
        <w:t>TLS 1.3</w:t>
      </w:r>
      <w:r w:rsidRPr="00077EB0">
        <w:t xml:space="preserve"> protocols across all external communications and API endpoints.</w:t>
      </w:r>
    </w:p>
    <w:p w14:paraId="2F6F2318" w14:textId="77777777" w:rsidR="00077EB0" w:rsidRPr="00077EB0" w:rsidRDefault="00077EB0" w:rsidP="00077EB0">
      <w:pPr>
        <w:numPr>
          <w:ilvl w:val="0"/>
          <w:numId w:val="2"/>
        </w:numPr>
      </w:pPr>
      <w:r w:rsidRPr="00077EB0">
        <w:rPr>
          <w:b/>
          <w:bCs/>
        </w:rPr>
        <w:t>Compliance Certifications:</w:t>
      </w:r>
      <w:r w:rsidRPr="00077EB0">
        <w:t xml:space="preserve"> The Firm successfully completed its most recent </w:t>
      </w:r>
      <w:r w:rsidRPr="00077EB0">
        <w:rPr>
          <w:b/>
          <w:bCs/>
        </w:rPr>
        <w:t>SOC 2 Type II</w:t>
      </w:r>
      <w:r w:rsidRPr="00077EB0">
        <w:t xml:space="preserve"> audit on January 15, 2026, with zero exceptions noted. The report is available to institutional clients upon execution of an NDA.</w:t>
      </w:r>
    </w:p>
    <w:p w14:paraId="55A21939" w14:textId="77777777" w:rsidR="00077EB0" w:rsidRPr="00077EB0" w:rsidRDefault="00077EB0" w:rsidP="00077EB0">
      <w:pPr>
        <w:numPr>
          <w:ilvl w:val="0"/>
          <w:numId w:val="2"/>
        </w:numPr>
      </w:pPr>
      <w:r w:rsidRPr="00077EB0">
        <w:rPr>
          <w:b/>
          <w:bCs/>
        </w:rPr>
        <w:t>Vulnerability Management:</w:t>
      </w:r>
      <w:r w:rsidRPr="00077EB0">
        <w:t xml:space="preserve"> We conduct automated vulnerability scans on our external-facing infrastructure on a weekly basis. Additionally, an independent third-party cybersecurity firm (CrowdStrike) conducts comprehensive </w:t>
      </w:r>
      <w:r w:rsidRPr="00077EB0">
        <w:rPr>
          <w:b/>
          <w:bCs/>
        </w:rPr>
        <w:t>penetration testing annually</w:t>
      </w:r>
      <w:r w:rsidRPr="00077EB0">
        <w:t xml:space="preserve"> every October.</w:t>
      </w:r>
    </w:p>
    <w:p w14:paraId="46AE80D0" w14:textId="77777777" w:rsidR="00077EB0" w:rsidRPr="00077EB0" w:rsidRDefault="00077EB0" w:rsidP="00077EB0">
      <w:pPr>
        <w:rPr>
          <w:b/>
          <w:bCs/>
        </w:rPr>
      </w:pPr>
      <w:r w:rsidRPr="00077EB0">
        <w:rPr>
          <w:b/>
          <w:bCs/>
        </w:rPr>
        <w:t>3. Access Control &amp; Identity Management</w:t>
      </w:r>
    </w:p>
    <w:p w14:paraId="2F9094FD" w14:textId="77777777" w:rsidR="00077EB0" w:rsidRPr="00077EB0" w:rsidRDefault="00077EB0" w:rsidP="00077EB0">
      <w:r w:rsidRPr="00077EB0">
        <w:t>Sterling Oak enforces the Principle of Least Privilege (</w:t>
      </w:r>
      <w:proofErr w:type="spellStart"/>
      <w:r w:rsidRPr="00077EB0">
        <w:t>PoLP</w:t>
      </w:r>
      <w:proofErr w:type="spellEnd"/>
      <w:r w:rsidRPr="00077EB0">
        <w:t>) across all systems. Access to client data and trading systems is granted strictly on a role-based access control (RBAC) model.</w:t>
      </w:r>
    </w:p>
    <w:p w14:paraId="58B07730" w14:textId="77777777" w:rsidR="00077EB0" w:rsidRPr="00077EB0" w:rsidRDefault="00077EB0" w:rsidP="00077EB0">
      <w:pPr>
        <w:numPr>
          <w:ilvl w:val="0"/>
          <w:numId w:val="3"/>
        </w:numPr>
      </w:pPr>
      <w:r w:rsidRPr="00077EB0">
        <w:rPr>
          <w:b/>
          <w:bCs/>
        </w:rPr>
        <w:t>Authentication:</w:t>
      </w:r>
      <w:r w:rsidRPr="00077EB0">
        <w:t xml:space="preserve"> Multi-Factor Authentication (MFA) is strictly enforced for all employees, contractors, and clients accessing any Sterling Oak system. We utilize hardware-based security keys (YubiKey) for all internal administrative access.</w:t>
      </w:r>
    </w:p>
    <w:p w14:paraId="04D95F02" w14:textId="77777777" w:rsidR="00077EB0" w:rsidRPr="00077EB0" w:rsidRDefault="00077EB0" w:rsidP="00077EB0">
      <w:pPr>
        <w:numPr>
          <w:ilvl w:val="0"/>
          <w:numId w:val="3"/>
        </w:numPr>
      </w:pPr>
      <w:r w:rsidRPr="00077EB0">
        <w:rPr>
          <w:b/>
          <w:bCs/>
        </w:rPr>
        <w:t>Password Policy:</w:t>
      </w:r>
      <w:r w:rsidRPr="00077EB0">
        <w:t xml:space="preserve"> Passwords must be a minimum of 16 characters in length, combining alphanumeric and special characters, and are subject to a mandatory </w:t>
      </w:r>
      <w:r w:rsidRPr="00077EB0">
        <w:rPr>
          <w:b/>
          <w:bCs/>
        </w:rPr>
        <w:t>90-day rotation policy</w:t>
      </w:r>
      <w:r w:rsidRPr="00077EB0">
        <w:t>.</w:t>
      </w:r>
    </w:p>
    <w:p w14:paraId="221E78CA" w14:textId="77777777" w:rsidR="00077EB0" w:rsidRPr="00077EB0" w:rsidRDefault="00077EB0" w:rsidP="00077EB0">
      <w:pPr>
        <w:numPr>
          <w:ilvl w:val="0"/>
          <w:numId w:val="3"/>
        </w:numPr>
      </w:pPr>
      <w:r w:rsidRPr="00077EB0">
        <w:rPr>
          <w:b/>
          <w:bCs/>
        </w:rPr>
        <w:t>Offboarding:</w:t>
      </w:r>
      <w:r w:rsidRPr="00077EB0">
        <w:t xml:space="preserve"> Upon termination or resignation of an employee, all system access is programmatically revoked within </w:t>
      </w:r>
      <w:r w:rsidRPr="00077EB0">
        <w:rPr>
          <w:b/>
          <w:bCs/>
        </w:rPr>
        <w:t>15 minutes</w:t>
      </w:r>
      <w:r w:rsidRPr="00077EB0">
        <w:t xml:space="preserve"> of HR notification.</w:t>
      </w:r>
    </w:p>
    <w:p w14:paraId="060CA58B" w14:textId="77777777" w:rsidR="00077EB0" w:rsidRPr="00077EB0" w:rsidRDefault="00077EB0" w:rsidP="00077EB0">
      <w:pPr>
        <w:rPr>
          <w:b/>
          <w:bCs/>
        </w:rPr>
      </w:pPr>
      <w:r w:rsidRPr="00077EB0">
        <w:rPr>
          <w:b/>
          <w:bCs/>
        </w:rPr>
        <w:lastRenderedPageBreak/>
        <w:t>4. Cyber Incident Response</w:t>
      </w:r>
    </w:p>
    <w:p w14:paraId="2E3775E7" w14:textId="77777777" w:rsidR="00077EB0" w:rsidRPr="00077EB0" w:rsidRDefault="00077EB0" w:rsidP="00077EB0">
      <w:r w:rsidRPr="00077EB0">
        <w:t>In the event of a suspected data breach or cybersecurity incident, the Firm's Cyber Incident Response Team (CIRT) is activated immediately.</w:t>
      </w:r>
    </w:p>
    <w:p w14:paraId="20B2DF6F" w14:textId="77777777" w:rsidR="00077EB0" w:rsidRPr="00077EB0" w:rsidRDefault="00077EB0" w:rsidP="00077EB0">
      <w:pPr>
        <w:numPr>
          <w:ilvl w:val="0"/>
          <w:numId w:val="4"/>
        </w:numPr>
      </w:pPr>
      <w:r w:rsidRPr="00077EB0">
        <w:rPr>
          <w:b/>
          <w:bCs/>
        </w:rPr>
        <w:t>Notification Timelines:</w:t>
      </w:r>
      <w:r w:rsidRPr="00077EB0">
        <w:t xml:space="preserve"> In accordance with GDPR and SEC regulations, Sterling Oak commits to notifying the relevant regulatory bodies and affected clients within </w:t>
      </w:r>
      <w:r w:rsidRPr="00077EB0">
        <w:rPr>
          <w:b/>
          <w:bCs/>
        </w:rPr>
        <w:t>72 hours</w:t>
      </w:r>
      <w:r w:rsidRPr="00077EB0">
        <w:t xml:space="preserve"> of confirming a material data breach that compromises Personally Identifiable Information (PII) or sensitive financial data.</w:t>
      </w:r>
    </w:p>
    <w:p w14:paraId="093267DD" w14:textId="77777777" w:rsidR="00077EB0" w:rsidRPr="00077EB0" w:rsidRDefault="00077EB0" w:rsidP="00077EB0">
      <w:pPr>
        <w:numPr>
          <w:ilvl w:val="0"/>
          <w:numId w:val="4"/>
        </w:numPr>
      </w:pPr>
      <w:r w:rsidRPr="00077EB0">
        <w:rPr>
          <w:b/>
          <w:bCs/>
        </w:rPr>
        <w:t>Forensic Retention:</w:t>
      </w:r>
      <w:r w:rsidRPr="00077EB0">
        <w:t xml:space="preserve"> All system logs (firewall, authentication, and application logs) are aggregated in a centralized SIEM (Security Information and Event Management) system and retained in immutable storage for a minimum of </w:t>
      </w:r>
      <w:r w:rsidRPr="00077EB0">
        <w:rPr>
          <w:b/>
          <w:bCs/>
        </w:rPr>
        <w:t>365 days</w:t>
      </w:r>
      <w:r w:rsidRPr="00077EB0">
        <w:t xml:space="preserve"> to support forensic investigations.</w:t>
      </w:r>
    </w:p>
    <w:p w14:paraId="6DC74826" w14:textId="77777777" w:rsidR="00077EB0" w:rsidRPr="00077EB0" w:rsidRDefault="00077EB0" w:rsidP="00077EB0">
      <w:pPr>
        <w:rPr>
          <w:b/>
          <w:bCs/>
        </w:rPr>
      </w:pPr>
      <w:r w:rsidRPr="00077EB0">
        <w:rPr>
          <w:b/>
          <w:bCs/>
        </w:rPr>
        <w:t>5. Employee Code of Conduct &amp; Insider Trading</w:t>
      </w:r>
    </w:p>
    <w:p w14:paraId="1127C2DB" w14:textId="77777777" w:rsidR="00077EB0" w:rsidRPr="00077EB0" w:rsidRDefault="00077EB0" w:rsidP="00077EB0">
      <w:r w:rsidRPr="00077EB0">
        <w:t>Sterling Oak maintains a zero-tolerance policy for market manipulation, insider trading, and conflicts of interest.</w:t>
      </w:r>
    </w:p>
    <w:p w14:paraId="3D6B1883" w14:textId="77777777" w:rsidR="00077EB0" w:rsidRPr="00077EB0" w:rsidRDefault="00077EB0" w:rsidP="00077EB0">
      <w:pPr>
        <w:numPr>
          <w:ilvl w:val="0"/>
          <w:numId w:val="5"/>
        </w:numPr>
      </w:pPr>
      <w:r w:rsidRPr="00077EB0">
        <w:rPr>
          <w:b/>
          <w:bCs/>
        </w:rPr>
        <w:t>Personal Trading:</w:t>
      </w:r>
      <w:r w:rsidRPr="00077EB0">
        <w:t xml:space="preserve"> All employees are subject to strict personal trading rules. Employees are prohibited from purchasing individual corporate bonds. Any purchase or sale of equities or ETFs must be pre-cleared through the Firm's automated compliance system (</w:t>
      </w:r>
      <w:proofErr w:type="spellStart"/>
      <w:r w:rsidRPr="00077EB0">
        <w:t>ComplySci</w:t>
      </w:r>
      <w:proofErr w:type="spellEnd"/>
      <w:r w:rsidRPr="00077EB0">
        <w:t>) and held for a minimum of 60 days to prevent short-term speculative trading.</w:t>
      </w:r>
    </w:p>
    <w:p w14:paraId="509821F8" w14:textId="77777777" w:rsidR="00077EB0" w:rsidRPr="00077EB0" w:rsidRDefault="00077EB0" w:rsidP="00077EB0">
      <w:pPr>
        <w:numPr>
          <w:ilvl w:val="0"/>
          <w:numId w:val="5"/>
        </w:numPr>
      </w:pPr>
      <w:r w:rsidRPr="00077EB0">
        <w:rPr>
          <w:b/>
          <w:bCs/>
        </w:rPr>
        <w:t>Mandatory Training:</w:t>
      </w:r>
      <w:r w:rsidRPr="00077EB0">
        <w:t xml:space="preserve"> All staff members must complete rigorous Anti-Money Laundering (AML), Know Your Customer (KYC), and Cybersecurity Awareness training within their first week of employment, and pass a recertification exam </w:t>
      </w:r>
      <w:r w:rsidRPr="00077EB0">
        <w:rPr>
          <w:b/>
          <w:bCs/>
        </w:rPr>
        <w:t>bi-annually</w:t>
      </w:r>
      <w:r w:rsidRPr="00077EB0">
        <w:t xml:space="preserve"> (every 6 months).</w:t>
      </w:r>
    </w:p>
    <w:p w14:paraId="22B6C2B0" w14:textId="77777777" w:rsidR="00173ED5" w:rsidRDefault="00173ED5"/>
    <w:sectPr w:rsidR="00173ED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0147"/>
    <w:multiLevelType w:val="multilevel"/>
    <w:tmpl w:val="623E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9A32D7"/>
    <w:multiLevelType w:val="multilevel"/>
    <w:tmpl w:val="36968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0F6B09"/>
    <w:multiLevelType w:val="multilevel"/>
    <w:tmpl w:val="E7B25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4A667F"/>
    <w:multiLevelType w:val="multilevel"/>
    <w:tmpl w:val="E7B6F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217932"/>
    <w:multiLevelType w:val="multilevel"/>
    <w:tmpl w:val="98A43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828038">
    <w:abstractNumId w:val="2"/>
  </w:num>
  <w:num w:numId="2" w16cid:durableId="1733843657">
    <w:abstractNumId w:val="4"/>
  </w:num>
  <w:num w:numId="3" w16cid:durableId="1564754871">
    <w:abstractNumId w:val="1"/>
  </w:num>
  <w:num w:numId="4" w16cid:durableId="1533959393">
    <w:abstractNumId w:val="0"/>
  </w:num>
  <w:num w:numId="5" w16cid:durableId="5824478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A35"/>
    <w:rsid w:val="00077EB0"/>
    <w:rsid w:val="000D0D78"/>
    <w:rsid w:val="00173ED5"/>
    <w:rsid w:val="00802A35"/>
    <w:rsid w:val="00A24B51"/>
    <w:rsid w:val="00C03E68"/>
    <w:rsid w:val="00C05DA8"/>
    <w:rsid w:val="00DE08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0A8A5"/>
  <w15:chartTrackingRefBased/>
  <w15:docId w15:val="{0853C012-F742-4C4C-B8D0-0F656D4EC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2A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2A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2A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2A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2A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2A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2A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2A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2A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A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2A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2A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2A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2A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2A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2A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2A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2A35"/>
    <w:rPr>
      <w:rFonts w:eastAsiaTheme="majorEastAsia" w:cstheme="majorBidi"/>
      <w:color w:val="272727" w:themeColor="text1" w:themeTint="D8"/>
    </w:rPr>
  </w:style>
  <w:style w:type="paragraph" w:styleId="Title">
    <w:name w:val="Title"/>
    <w:basedOn w:val="Normal"/>
    <w:next w:val="Normal"/>
    <w:link w:val="TitleChar"/>
    <w:uiPriority w:val="10"/>
    <w:qFormat/>
    <w:rsid w:val="00802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2A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2A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2A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2A35"/>
    <w:pPr>
      <w:spacing w:before="160"/>
      <w:jc w:val="center"/>
    </w:pPr>
    <w:rPr>
      <w:i/>
      <w:iCs/>
      <w:color w:val="404040" w:themeColor="text1" w:themeTint="BF"/>
    </w:rPr>
  </w:style>
  <w:style w:type="character" w:customStyle="1" w:styleId="QuoteChar">
    <w:name w:val="Quote Char"/>
    <w:basedOn w:val="DefaultParagraphFont"/>
    <w:link w:val="Quote"/>
    <w:uiPriority w:val="29"/>
    <w:rsid w:val="00802A35"/>
    <w:rPr>
      <w:i/>
      <w:iCs/>
      <w:color w:val="404040" w:themeColor="text1" w:themeTint="BF"/>
    </w:rPr>
  </w:style>
  <w:style w:type="paragraph" w:styleId="ListParagraph">
    <w:name w:val="List Paragraph"/>
    <w:basedOn w:val="Normal"/>
    <w:uiPriority w:val="34"/>
    <w:qFormat/>
    <w:rsid w:val="00802A35"/>
    <w:pPr>
      <w:ind w:left="720"/>
      <w:contextualSpacing/>
    </w:pPr>
  </w:style>
  <w:style w:type="character" w:styleId="IntenseEmphasis">
    <w:name w:val="Intense Emphasis"/>
    <w:basedOn w:val="DefaultParagraphFont"/>
    <w:uiPriority w:val="21"/>
    <w:qFormat/>
    <w:rsid w:val="00802A35"/>
    <w:rPr>
      <w:i/>
      <w:iCs/>
      <w:color w:val="2F5496" w:themeColor="accent1" w:themeShade="BF"/>
    </w:rPr>
  </w:style>
  <w:style w:type="paragraph" w:styleId="IntenseQuote">
    <w:name w:val="Intense Quote"/>
    <w:basedOn w:val="Normal"/>
    <w:next w:val="Normal"/>
    <w:link w:val="IntenseQuoteChar"/>
    <w:uiPriority w:val="30"/>
    <w:qFormat/>
    <w:rsid w:val="00802A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2A35"/>
    <w:rPr>
      <w:i/>
      <w:iCs/>
      <w:color w:val="2F5496" w:themeColor="accent1" w:themeShade="BF"/>
    </w:rPr>
  </w:style>
  <w:style w:type="character" w:styleId="IntenseReference">
    <w:name w:val="Intense Reference"/>
    <w:basedOn w:val="DefaultParagraphFont"/>
    <w:uiPriority w:val="32"/>
    <w:qFormat/>
    <w:rsid w:val="00802A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636</Words>
  <Characters>3631</Characters>
  <Application>Microsoft Office Word</Application>
  <DocSecurity>0</DocSecurity>
  <Lines>30</Lines>
  <Paragraphs>8</Paragraphs>
  <ScaleCrop>false</ScaleCrop>
  <Company/>
  <LinksUpToDate>false</LinksUpToDate>
  <CharactersWithSpaces>4259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E</dc:creator>
  <cp:keywords/>
  <dc:description/>
  <cp:lastModifiedBy>Jay E</cp:lastModifiedBy>
  <cp:revision>2</cp:revision>
  <dcterms:created xsi:type="dcterms:W3CDTF">2026-03-03T17:11:00Z</dcterms:created>
  <dcterms:modified xsi:type="dcterms:W3CDTF">2026-03-03T17:13:00Z</dcterms:modified>
</cp:coreProperties>
</file>