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Newsroom House-Style Drift Report</w:t>
      </w:r>
    </w:p>
    <w:p>
      <w:pPr>
        <w:jc w:val="center"/>
      </w:pPr>
      <w:r>
        <w:t>SuperDocs Task 2 — Newsroom House-Style Pack</w:t>
      </w:r>
    </w:p>
    <w:p>
      <w:pPr>
        <w:pStyle w:val="Heading1"/>
      </w:pPr>
      <w:r>
        <w:t>Executive summary</w:t>
      </w:r>
    </w:p>
    <w:p>
      <w:r>
        <w:t>A configuration-driven newsroom house-style pack based on selected rules from The Guardian Style Guide was tested against 20 synthetic newsroom articles using SuperDocs. The audit produced 75 reported violations against 78 deliberately planted violations. Eight planted violations were missed and one false positive was documented.</w:t>
      </w:r>
    </w:p>
    <w:p>
      <w:pPr>
        <w:pStyle w:val="Heading1"/>
      </w:pPr>
      <w:r>
        <w:t>Ranked style drift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Rank</w:t>
            </w:r>
          </w:p>
        </w:tc>
        <w:tc>
          <w:tcPr>
            <w:tcW w:type="dxa" w:w="3312"/>
          </w:tcPr>
          <w:p>
            <w:r>
              <w:t>Rule</w:t>
            </w:r>
          </w:p>
        </w:tc>
        <w:tc>
          <w:tcPr>
            <w:tcW w:type="dxa" w:w="3312"/>
          </w:tcPr>
          <w:p>
            <w:r>
              <w:t>Reported violations / articles affected</w:t>
            </w:r>
          </w:p>
        </w:tc>
      </w:tr>
      <w:tr>
        <w:tc>
          <w:tcPr>
            <w:tcW w:type="dxa" w:w="3312"/>
          </w:tcPr>
          <w:p>
            <w:r>
              <w:t>1</w:t>
            </w:r>
          </w:p>
        </w:tc>
        <w:tc>
          <w:tcPr>
            <w:tcW w:type="dxa" w:w="3312"/>
          </w:tcPr>
          <w:p>
            <w:r>
              <w:t>G01 — Numbers</w:t>
            </w:r>
          </w:p>
        </w:tc>
        <w:tc>
          <w:tcPr>
            <w:tcW w:type="dxa" w:w="3312"/>
          </w:tcPr>
          <w:p>
            <w:r>
              <w:t>20 / 15</w:t>
            </w:r>
          </w:p>
        </w:tc>
      </w:tr>
      <w:tr>
        <w:tc>
          <w:tcPr>
            <w:tcW w:type="dxa" w:w="3312"/>
          </w:tcPr>
          <w:p>
            <w:r>
              <w:t>2</w:t>
            </w:r>
          </w:p>
        </w:tc>
        <w:tc>
          <w:tcPr>
            <w:tcW w:type="dxa" w:w="3312"/>
          </w:tcPr>
          <w:p>
            <w:r>
              <w:t>G06 — Jargon — “going forward”</w:t>
            </w:r>
          </w:p>
        </w:tc>
        <w:tc>
          <w:tcPr>
            <w:tcW w:type="dxa" w:w="3312"/>
          </w:tcPr>
          <w:p>
            <w:r>
              <w:t>20 / 20</w:t>
            </w:r>
          </w:p>
        </w:tc>
      </w:tr>
      <w:tr>
        <w:tc>
          <w:tcPr>
            <w:tcW w:type="dxa" w:w="3312"/>
          </w:tcPr>
          <w:p>
            <w:r>
              <w:t>3</w:t>
            </w:r>
          </w:p>
        </w:tc>
        <w:tc>
          <w:tcPr>
            <w:tcW w:type="dxa" w:w="3312"/>
          </w:tcPr>
          <w:p>
            <w:r>
              <w:t>G07 — Usage — “obligated”</w:t>
            </w:r>
          </w:p>
        </w:tc>
        <w:tc>
          <w:tcPr>
            <w:tcW w:type="dxa" w:w="3312"/>
          </w:tcPr>
          <w:p>
            <w:r>
              <w:t>20 / 20</w:t>
            </w:r>
          </w:p>
        </w:tc>
      </w:tr>
      <w:tr>
        <w:tc>
          <w:tcPr>
            <w:tcW w:type="dxa" w:w="3312"/>
          </w:tcPr>
          <w:p>
            <w:r>
              <w:t>4</w:t>
            </w:r>
          </w:p>
        </w:tc>
        <w:tc>
          <w:tcPr>
            <w:tcW w:type="dxa" w:w="3312"/>
          </w:tcPr>
          <w:p>
            <w:r>
              <w:t>G04 — Quotation marks</w:t>
            </w:r>
          </w:p>
        </w:tc>
        <w:tc>
          <w:tcPr>
            <w:tcW w:type="dxa" w:w="3312"/>
          </w:tcPr>
          <w:p>
            <w:r>
              <w:t>15 / 15</w:t>
            </w:r>
          </w:p>
        </w:tc>
      </w:tr>
    </w:tbl>
    <w:p>
      <w:pPr>
        <w:pStyle w:val="Heading1"/>
      </w:pPr>
      <w:r>
        <w:t>Audit performance</w:t>
      </w:r>
    </w:p>
    <w:tbl>
      <w:tblPr>
        <w:tblStyle w:val="TableGrid"/>
        <w:tblW w:type="auto" w:w="0"/>
        <w:tblLook w:firstColumn="1" w:firstRow="1" w:lastColumn="0" w:lastRow="0" w:noHBand="0" w:noVBand="1" w:val="04A0"/>
      </w:tblPr>
      <w:tblGrid>
        <w:gridCol w:w="4968"/>
        <w:gridCol w:w="4968"/>
      </w:tblGrid>
      <w:tr>
        <w:tc>
          <w:tcPr>
            <w:tcW w:type="dxa" w:w="4968"/>
          </w:tcPr>
          <w:p>
            <w:r>
              <w:t>Measure</w:t>
            </w:r>
          </w:p>
        </w:tc>
        <w:tc>
          <w:tcPr>
            <w:tcW w:type="dxa" w:w="4968"/>
          </w:tcPr>
          <w:p>
            <w:r>
              <w:t>Result</w:t>
            </w:r>
          </w:p>
        </w:tc>
      </w:tr>
      <w:tr>
        <w:tc>
          <w:tcPr>
            <w:tcW w:type="dxa" w:w="4968"/>
          </w:tcPr>
          <w:p>
            <w:r>
              <w:t>Articles audited</w:t>
            </w:r>
          </w:p>
        </w:tc>
        <w:tc>
          <w:tcPr>
            <w:tcW w:type="dxa" w:w="4968"/>
          </w:tcPr>
          <w:p>
            <w:r>
              <w:t>20</w:t>
            </w:r>
          </w:p>
        </w:tc>
      </w:tr>
      <w:tr>
        <w:tc>
          <w:tcPr>
            <w:tcW w:type="dxa" w:w="4968"/>
          </w:tcPr>
          <w:p>
            <w:r>
              <w:t>Planted violations</w:t>
            </w:r>
          </w:p>
        </w:tc>
        <w:tc>
          <w:tcPr>
            <w:tcW w:type="dxa" w:w="4968"/>
          </w:tcPr>
          <w:p>
            <w:r>
              <w:t>78</w:t>
            </w:r>
          </w:p>
        </w:tc>
      </w:tr>
      <w:tr>
        <w:tc>
          <w:tcPr>
            <w:tcW w:type="dxa" w:w="4968"/>
          </w:tcPr>
          <w:p>
            <w:r>
              <w:t>SuperDocs-reported violations</w:t>
            </w:r>
          </w:p>
        </w:tc>
        <w:tc>
          <w:tcPr>
            <w:tcW w:type="dxa" w:w="4968"/>
          </w:tcPr>
          <w:p>
            <w:r>
              <w:t>75</w:t>
            </w:r>
          </w:p>
        </w:tc>
      </w:tr>
      <w:tr>
        <w:tc>
          <w:tcPr>
            <w:tcW w:type="dxa" w:w="4968"/>
          </w:tcPr>
          <w:p>
            <w:r>
              <w:t>Planted violations missed</w:t>
            </w:r>
          </w:p>
        </w:tc>
        <w:tc>
          <w:tcPr>
            <w:tcW w:type="dxa" w:w="4968"/>
          </w:tcPr>
          <w:p>
            <w:r>
              <w:t>8</w:t>
            </w:r>
          </w:p>
        </w:tc>
      </w:tr>
      <w:tr>
        <w:tc>
          <w:tcPr>
            <w:tcW w:type="dxa" w:w="4968"/>
          </w:tcPr>
          <w:p>
            <w:r>
              <w:t>Documented false positives</w:t>
            </w:r>
          </w:p>
        </w:tc>
        <w:tc>
          <w:tcPr>
            <w:tcW w:type="dxa" w:w="4968"/>
          </w:tcPr>
          <w:p>
            <w:r>
              <w:t>1</w:t>
            </w:r>
          </w:p>
        </w:tc>
      </w:tr>
    </w:tbl>
    <w:p>
      <w:pPr>
        <w:pStyle w:val="Heading1"/>
      </w:pPr>
      <w:r>
        <w:t>Rules checked</w:t>
      </w:r>
    </w:p>
    <w:tbl>
      <w:tblPr>
        <w:tblStyle w:val="TableGrid"/>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Category</w:t>
            </w:r>
          </w:p>
        </w:tc>
        <w:tc>
          <w:tcPr>
            <w:tcW w:type="dxa" w:w="3312"/>
          </w:tcPr>
          <w:p>
            <w:r>
              <w:t>Rule</w:t>
            </w:r>
          </w:p>
        </w:tc>
      </w:tr>
      <w:tr>
        <w:tc>
          <w:tcPr>
            <w:tcW w:type="dxa" w:w="3312"/>
          </w:tcPr>
          <w:p>
            <w:r>
              <w:t>G01</w:t>
            </w:r>
          </w:p>
        </w:tc>
        <w:tc>
          <w:tcPr>
            <w:tcW w:type="dxa" w:w="3312"/>
          </w:tcPr>
          <w:p>
            <w:r>
              <w:t>Numbers</w:t>
            </w:r>
          </w:p>
        </w:tc>
        <w:tc>
          <w:tcPr>
            <w:tcW w:type="dxa" w:w="3312"/>
          </w:tcPr>
          <w:p>
            <w:r>
              <w:t>Spell out numbers one to nine in ordinary prose; use numerals from 10 onward, subject to exceptions.</w:t>
            </w:r>
          </w:p>
        </w:tc>
      </w:tr>
      <w:tr>
        <w:tc>
          <w:tcPr>
            <w:tcW w:type="dxa" w:w="3312"/>
          </w:tcPr>
          <w:p>
            <w:r>
              <w:t>G02</w:t>
            </w:r>
          </w:p>
        </w:tc>
        <w:tc>
          <w:tcPr>
            <w:tcW w:type="dxa" w:w="3312"/>
          </w:tcPr>
          <w:p>
            <w:r>
              <w:t>Abbreviations</w:t>
            </w:r>
          </w:p>
        </w:tc>
        <w:tc>
          <w:tcPr>
            <w:tcW w:type="dxa" w:w="3312"/>
          </w:tcPr>
          <w:p>
            <w:r>
              <w:t>Do not use full points in abbreviations.</w:t>
            </w:r>
          </w:p>
        </w:tc>
      </w:tr>
      <w:tr>
        <w:tc>
          <w:tcPr>
            <w:tcW w:type="dxa" w:w="3312"/>
          </w:tcPr>
          <w:p>
            <w:r>
              <w:t>G03</w:t>
            </w:r>
          </w:p>
        </w:tc>
        <w:tc>
          <w:tcPr>
            <w:tcW w:type="dxa" w:w="3312"/>
          </w:tcPr>
          <w:p>
            <w:r>
              <w:t>Initials</w:t>
            </w:r>
          </w:p>
        </w:tc>
        <w:tc>
          <w:tcPr>
            <w:tcW w:type="dxa" w:w="3312"/>
          </w:tcPr>
          <w:p>
            <w:r>
              <w:t>Do not put spaces between initials.</w:t>
            </w:r>
          </w:p>
        </w:tc>
      </w:tr>
      <w:tr>
        <w:tc>
          <w:tcPr>
            <w:tcW w:type="dxa" w:w="3312"/>
          </w:tcPr>
          <w:p>
            <w:r>
              <w:t>G04</w:t>
            </w:r>
          </w:p>
        </w:tc>
        <w:tc>
          <w:tcPr>
            <w:tcW w:type="dxa" w:w="3312"/>
          </w:tcPr>
          <w:p>
            <w:r>
              <w:t>Quotation marks</w:t>
            </w:r>
          </w:p>
        </w:tc>
        <w:tc>
          <w:tcPr>
            <w:tcW w:type="dxa" w:w="3312"/>
          </w:tcPr>
          <w:p>
            <w:r>
              <w:t>Use single quotation marks for direct quotations in ordinary copy.</w:t>
            </w:r>
          </w:p>
        </w:tc>
      </w:tr>
      <w:tr>
        <w:tc>
          <w:tcPr>
            <w:tcW w:type="dxa" w:w="3312"/>
          </w:tcPr>
          <w:p>
            <w:r>
              <w:t>G05</w:t>
            </w:r>
          </w:p>
        </w:tc>
        <w:tc>
          <w:tcPr>
            <w:tcW w:type="dxa" w:w="3312"/>
          </w:tcPr>
          <w:p>
            <w:r>
              <w:t>Nested quotations</w:t>
            </w:r>
          </w:p>
        </w:tc>
        <w:tc>
          <w:tcPr>
            <w:tcW w:type="dxa" w:w="3312"/>
          </w:tcPr>
          <w:p>
            <w:r>
              <w:t>Use double quotation marks for quotations nested inside single quotation marks.</w:t>
            </w:r>
          </w:p>
        </w:tc>
      </w:tr>
      <w:tr>
        <w:tc>
          <w:tcPr>
            <w:tcW w:type="dxa" w:w="3312"/>
          </w:tcPr>
          <w:p>
            <w:r>
              <w:t>G06</w:t>
            </w:r>
          </w:p>
        </w:tc>
        <w:tc>
          <w:tcPr>
            <w:tcW w:type="dxa" w:w="3312"/>
          </w:tcPr>
          <w:p>
            <w:r>
              <w:t>Jargon</w:t>
            </w:r>
          </w:p>
        </w:tc>
        <w:tc>
          <w:tcPr>
            <w:tcW w:type="dxa" w:w="3312"/>
          </w:tcPr>
          <w:p>
            <w:r>
              <w:t>Avoid “going forward” when it means “in the future”.</w:t>
            </w:r>
          </w:p>
        </w:tc>
      </w:tr>
      <w:tr>
        <w:tc>
          <w:tcPr>
            <w:tcW w:type="dxa" w:w="3312"/>
          </w:tcPr>
          <w:p>
            <w:r>
              <w:t>G07</w:t>
            </w:r>
          </w:p>
        </w:tc>
        <w:tc>
          <w:tcPr>
            <w:tcW w:type="dxa" w:w="3312"/>
          </w:tcPr>
          <w:p>
            <w:r>
              <w:t>Usage</w:t>
            </w:r>
          </w:p>
        </w:tc>
        <w:tc>
          <w:tcPr>
            <w:tcW w:type="dxa" w:w="3312"/>
          </w:tcPr>
          <w:p>
            <w:r>
              <w:t>Use “obliged” rather than “obligated” when the meaning is required or compelled.</w:t>
            </w:r>
          </w:p>
        </w:tc>
      </w:tr>
      <w:tr>
        <w:tc>
          <w:tcPr>
            <w:tcW w:type="dxa" w:w="3312"/>
          </w:tcPr>
          <w:p>
            <w:r>
              <w:t>G08</w:t>
            </w:r>
          </w:p>
        </w:tc>
        <w:tc>
          <w:tcPr>
            <w:tcW w:type="dxa" w:w="3312"/>
          </w:tcPr>
          <w:p>
            <w:r>
              <w:t>Clarity</w:t>
            </w:r>
          </w:p>
        </w:tc>
        <w:tc>
          <w:tcPr>
            <w:tcW w:type="dxa" w:w="3312"/>
          </w:tcPr>
          <w:p>
            <w:r>
              <w:t>Avoid vague or ambiguous wording where a clearer construction is available.</w:t>
            </w:r>
          </w:p>
        </w:tc>
      </w:tr>
      <w:tr>
        <w:tc>
          <w:tcPr>
            <w:tcW w:type="dxa" w:w="3312"/>
          </w:tcPr>
          <w:p>
            <w:r>
              <w:t>G09</w:t>
            </w:r>
          </w:p>
        </w:tc>
        <w:tc>
          <w:tcPr>
            <w:tcW w:type="dxa" w:w="3312"/>
          </w:tcPr>
          <w:p>
            <w:r>
              <w:t>Word choice</w:t>
            </w:r>
          </w:p>
        </w:tc>
        <w:tc>
          <w:tcPr>
            <w:tcW w:type="dxa" w:w="3312"/>
          </w:tcPr>
          <w:p>
            <w:r>
              <w:t>Avoid “and/or”; choose “and” or “or”.</w:t>
            </w:r>
          </w:p>
        </w:tc>
      </w:tr>
      <w:tr>
        <w:tc>
          <w:tcPr>
            <w:tcW w:type="dxa" w:w="3312"/>
          </w:tcPr>
          <w:p>
            <w:r>
              <w:t>G10</w:t>
            </w:r>
          </w:p>
        </w:tc>
        <w:tc>
          <w:tcPr>
            <w:tcW w:type="dxa" w:w="3312"/>
          </w:tcPr>
          <w:p>
            <w:r>
              <w:t>Word choice</w:t>
            </w:r>
          </w:p>
        </w:tc>
        <w:tc>
          <w:tcPr>
            <w:tcW w:type="dxa" w:w="3312"/>
          </w:tcPr>
          <w:p>
            <w:r>
              <w:t>Prefer precise, ordinary language over unnecessary jargon or cliché.</w:t>
            </w:r>
          </w:p>
        </w:tc>
      </w:tr>
    </w:tbl>
    <w:p>
      <w:pPr>
        <w:pStyle w:val="Heading1"/>
      </w:pPr>
      <w:r>
        <w:t>Three reviewed fixes</w:t>
      </w:r>
    </w:p>
    <w:p>
      <w:pPr>
        <w:pStyle w:val="Heading2"/>
      </w:pPr>
      <w:r>
        <w:t>Article 2 — Hospital reports shorter waiting times</w:t>
      </w:r>
    </w:p>
    <w:p>
      <w:pPr>
        <w:pStyle w:val="ListBullet"/>
      </w:pPr>
      <w:r>
        <w:t>8 additional nurses → eight additional nurses</w:t>
      </w:r>
    </w:p>
    <w:p>
      <w:pPr>
        <w:pStyle w:val="ListBullet"/>
      </w:pPr>
      <w:r>
        <w:t>6 months → six months</w:t>
      </w:r>
    </w:p>
    <w:p>
      <w:pPr>
        <w:pStyle w:val="ListBullet"/>
      </w:pPr>
      <w:r>
        <w:t>Double quotation marks → single quotation marks</w:t>
      </w:r>
    </w:p>
    <w:p>
      <w:pPr>
        <w:pStyle w:val="ListBullet"/>
      </w:pPr>
      <w:r>
        <w:t>Going forward → In the future</w:t>
      </w:r>
    </w:p>
    <w:p>
      <w:pPr>
        <w:pStyle w:val="ListBullet"/>
      </w:pPr>
      <w:r>
        <w:t>obligated → obliged</w:t>
      </w:r>
    </w:p>
    <w:p>
      <w:pPr>
        <w:pStyle w:val="Heading2"/>
      </w:pPr>
      <w:r>
        <w:t>Article 6 — Local election campaign enters final week</w:t>
      </w:r>
    </w:p>
    <w:p>
      <w:pPr>
        <w:pStyle w:val="ListBullet"/>
      </w:pPr>
      <w:r>
        <w:t>7 wards → seven wards</w:t>
      </w:r>
    </w:p>
    <w:p>
      <w:pPr>
        <w:pStyle w:val="ListBullet"/>
      </w:pPr>
      <w:r>
        <w:t>Double quotation marks → single quotation marks</w:t>
      </w:r>
    </w:p>
    <w:p>
      <w:pPr>
        <w:pStyle w:val="ListBullet"/>
      </w:pPr>
      <w:r>
        <w:t>Going forward → In the future</w:t>
      </w:r>
    </w:p>
    <w:p>
      <w:pPr>
        <w:pStyle w:val="ListBullet"/>
      </w:pPr>
      <w:r>
        <w:t>obligated → obliged</w:t>
      </w:r>
    </w:p>
    <w:p>
      <w:pPr>
        <w:pStyle w:val="Heading2"/>
      </w:pPr>
      <w:r>
        <w:t>Article 8 — Central library reopens after renovation</w:t>
      </w:r>
    </w:p>
    <w:p>
      <w:pPr>
        <w:pStyle w:val="ListBullet"/>
      </w:pPr>
      <w:r>
        <w:t>8-month → eight-month</w:t>
      </w:r>
    </w:p>
    <w:p>
      <w:pPr>
        <w:pStyle w:val="ListBullet"/>
      </w:pPr>
      <w:r>
        <w:t>6 million → six million</w:t>
      </w:r>
    </w:p>
    <w:p>
      <w:pPr>
        <w:pStyle w:val="ListBullet"/>
      </w:pPr>
      <w:r>
        <w:t>Double quotation marks → single quotation marks</w:t>
      </w:r>
    </w:p>
    <w:p>
      <w:pPr>
        <w:pStyle w:val="ListBullet"/>
      </w:pPr>
      <w:r>
        <w:t>Going forward → In the future</w:t>
      </w:r>
    </w:p>
    <w:p>
      <w:pPr>
        <w:pStyle w:val="ListBullet"/>
      </w:pPr>
      <w:r>
        <w:t>obligated → obliged</w:t>
      </w:r>
    </w:p>
    <w:p>
      <w:pPr>
        <w:pStyle w:val="Heading1"/>
      </w:pPr>
      <w:r>
        <w:t>Checker mistake</w:t>
      </w:r>
    </w:p>
    <w:p>
      <w:r>
        <w:t>In Article 6, SuperDocs reported a G01 violation for “8 store managers”, but that phrase does not appear in the article. The actual article contains “7 wards”. The incorrect finding was not applied.</w:t>
      </w:r>
    </w:p>
    <w:p>
      <w:pPr>
        <w:pStyle w:val="Heading1"/>
      </w:pPr>
      <w:r>
        <w:t>Conclusion</w:t>
      </w:r>
    </w:p>
    <w:p>
      <w:r>
        <w:t>The most persistent style drift was G06 (“going forward”) and G07 (“obligated”), followed by G01 number formatting and G04 quotation marks. The audit also demonstrated the need for human review because the checker missed some planted violations and produced a false positive.</w:t>
      </w:r>
    </w:p>
    <w:p>
      <w:pPr>
        <w:pStyle w:val="Heading1"/>
      </w:pPr>
      <w:r>
        <w:t>Source</w:t>
      </w:r>
    </w:p>
    <w:p>
      <w:r>
        <w:t>The Guardian Style Guide — https://www.theguardian.com/info/series/the-guardian-style-guide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