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Описательная</w:t>
      </w:r>
      <w:r>
        <w:t xml:space="preserve"> </w:t>
      </w:r>
      <w:r>
        <w:t xml:space="preserve">статистика</w:t>
      </w:r>
    </w:p>
    <w:p>
      <w:pPr>
        <w:pStyle w:val="Author"/>
      </w:pPr>
      <w:r>
        <w:t xml:space="preserve">Мироненко</w:t>
      </w:r>
      <w:r>
        <w:t xml:space="preserve"> </w:t>
      </w:r>
      <w:r>
        <w:t xml:space="preserve">Ольга</w:t>
      </w:r>
    </w:p>
    <w:p>
      <w:pPr>
        <w:pStyle w:val="a9"/>
      </w:pPr>
      <w:r>
        <w:t xml:space="preserve">2022-11-07</w:t>
      </w:r>
    </w:p>
    <w:p>
      <w:pPr>
        <w:pStyle w:val="FirstParagraph"/>
      </w:pPr>
    </w:p>
    <w:p>
      <w:pPr>
        <w:pStyle w:val="BodyText"/>
      </w:pPr>
      <w:r>
        <w:t xml:space="preserve">Я выполню задания в двух вариантах:</w:t>
      </w:r>
    </w:p>
    <w:p>
      <w:pPr>
        <w:pStyle w:val="BodyText"/>
      </w:pPr>
      <w:r>
        <w:t xml:space="preserve">– таблицы будут сформированы с помощью готовых функций из пакета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доформатированы</w:t>
      </w:r>
      <w:r>
        <w:t xml:space="preserve">”</w:t>
      </w:r>
      <w:r>
        <w:t xml:space="preserve"> </w:t>
      </w:r>
      <w:r>
        <w:t xml:space="preserve">с помощью функций из пакета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,</w:t>
      </w:r>
    </w:p>
    <w:p>
      <w:pPr>
        <w:pStyle w:val="BodyText"/>
      </w:pPr>
      <w:r>
        <w:t xml:space="preserve">– таблицы будут сформированы</w:t>
      </w:r>
      <w:r>
        <w:t xml:space="preserve"> </w:t>
      </w:r>
      <w:r>
        <w:t xml:space="preserve">“</w:t>
      </w:r>
      <w:r>
        <w:t xml:space="preserve">вручную</w:t>
      </w:r>
      <w:r>
        <w:t xml:space="preserve">”</w:t>
      </w:r>
      <w:r>
        <w:t xml:space="preserve"> </w:t>
      </w:r>
      <w:r>
        <w:t xml:space="preserve">с помощью функций из пакетов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и отформатированы с помощью функций из пакета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по аналогии с тем, как это было показано в материалах курса.</w:t>
      </w:r>
    </w:p>
    <w:bookmarkStart w:id="24" w:name="данные-по-пациентам"/>
    <w:p>
      <w:pPr>
        <w:pStyle w:val="2"/>
      </w:pPr>
      <w:r>
        <w:t xml:space="preserve">Данные по пациентам</w:t>
      </w:r>
    </w:p>
    <w:p>
      <w:pPr>
        <w:pStyle w:val="FirstParagraph"/>
      </w:pPr>
      <w:r>
        <w:t xml:space="preserve">В табл.1 представим данные по характеристикам пациентов каждой группы на момент включения в исследование. Сравнение средних значений количественных переменных между группами будет производиться с помощью t-теста, распределений категориальных признаков - с помощью теста Хи-квадрат.</w:t>
      </w:r>
    </w:p>
    <w:p>
      <w:pPr>
        <w:pStyle w:val="BodyText"/>
      </w:pPr>
    </w:p>
    <w:bookmarkStart w:id="20" w:name="таблица-1-gtsummary-flextable"/>
    <w:p>
      <w:pPr>
        <w:pStyle w:val="4"/>
      </w:pPr>
      <w:r>
        <w:t xml:space="preserve">Таблица 1 (gtsummary + flextable)</w:t>
      </w:r>
    </w:p>
    <w:bookmarkEnd w:id="20"/>
    <w:bookmarkStart w:id="21" w:name="описательная-статистика-по-пациентам"/>
    <w:p>
      <w:pPr>
        <w:pStyle w:val="4"/>
      </w:pPr>
      <w:r>
        <w:t xml:space="preserve">Описательная статистика по пациентам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701"/>
        <w:gridCol w:w="1701"/>
        <w:gridCol w:w="113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Характеристика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29.2 (3.8)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31.3 (3.9)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 (27-32)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32 (29-34)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21-38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21-42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Пол, n/N (%)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32/50 (64%)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21/50 (42%)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18/50 (36%)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29/50 (58%)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168.0 (6.2)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167.4 (5.4)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169 (164-172)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167 (164-171)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155-181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159-177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крови, n/N (%)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10/41 (24%)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15/42 (36%)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16/41 (39%)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18/42 (43%)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11/41 (27%)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5/42 (12%)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4/41 (9.8%)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4/42 (9.5%)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5" w:hRule="auto"/>
        </w:trPr>
        <w:tc>
          <w:tcPr>
            <w:tcBorders>
              <w:bottom w:val="single" w:sz="8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Н.Д.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p>
      <w:pPr>
        <w:pStyle w:val="FirstParagraph"/>
      </w:pPr>
    </w:p>
    <w:bookmarkEnd w:id="21"/>
    <w:bookmarkStart w:id="22" w:name="таблица-1-dplyr-purrr-flextable"/>
    <w:p>
      <w:pPr>
        <w:pStyle w:val="4"/>
      </w:pPr>
      <w:r>
        <w:t xml:space="preserve">Таблица 1 (dplyr + purrr + flextable)</w:t>
      </w:r>
    </w:p>
    <w:bookmarkEnd w:id="22"/>
    <w:bookmarkStart w:id="23" w:name="описательная-статистика-по-пациентам-1"/>
    <w:p>
      <w:pPr>
        <w:pStyle w:val="4"/>
      </w:pPr>
      <w:r>
        <w:t xml:space="preserve">Описательная статистика по пациентам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701"/>
        <w:gridCol w:w="1701"/>
        <w:gridCol w:w="113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Характеристика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29.2 (3.8)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31.3 (3.9)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 (27-32)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32 (29-34)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21-38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21-42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32/50 (64%)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21/50 (42%)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18/50 (36%)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29/50 (58%)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168.0 (6.2)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167.4 (5.4)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169 (164-172)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167 (164-171)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155-181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159-177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10/41 (24%)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15/42 (36%)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16/41 (39%)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18/42 (43%)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11/41 (27%)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5/42 (12%)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4/41 (10%)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4/42 (10%)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Н.Д.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p>
      <w:pPr>
        <w:pStyle w:val="FirstParagraph"/>
      </w:pPr>
    </w:p>
    <w:bookmarkEnd w:id="23"/>
    <w:bookmarkEnd w:id="24"/>
    <w:bookmarkStart w:id="29" w:name="данные-по-показателям-крови-по-визитам"/>
    <w:p>
      <w:pPr>
        <w:pStyle w:val="2"/>
      </w:pPr>
      <w:r>
        <w:t xml:space="preserve">Данные по показателям крови по визитам</w:t>
      </w:r>
    </w:p>
    <w:bookmarkStart w:id="25" w:name="таблица-2-gtsummary-flextable"/>
    <w:p>
      <w:pPr>
        <w:pStyle w:val="4"/>
      </w:pPr>
      <w:r>
        <w:t xml:space="preserve">Таблица 2 (gtsummary + flextable)</w:t>
      </w:r>
    </w:p>
    <w:bookmarkEnd w:id="25"/>
    <w:bookmarkStart w:id="26" w:name="X46d75bfd9dbf144508008d937fcea5efbcc6adf"/>
    <w:p>
      <w:pPr>
        <w:pStyle w:val="4"/>
      </w:pPr>
      <w:r>
        <w:t xml:space="preserve">Описательная статистика по показателям крови по визитам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417"/>
        <w:gridCol w:w="1417"/>
        <w:gridCol w:w="850"/>
        <w:gridCol w:w="1417"/>
        <w:gridCol w:w="1417"/>
        <w:gridCol w:w="850"/>
      </w:tblGrid>
      <w:tr>
        <w:trPr>
          <w:cantSplit/>
          <w:trHeight w:val="612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Характеристика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Визит 2</w:t>
            </w:r>
          </w:p>
        </w:tc>
      </w:tr>
      <w:tr>
        <w:trPr>
          <w:cantSplit/>
          <w:trHeight w:val="615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Базофилы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1.1 (0.4)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 (0.3-0.8)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 (0.5-0.9)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 (0.7-1.2)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1.1 (0.9-1.3)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-0.2-1.6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0.0-1.7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0.2-2.0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0.4-2.1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Эозинофилы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3.2 (1.8)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(2.4)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(1.8)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5.3 (2.4)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3.1 (2.2-4.2)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4.6 (2.6-6.0)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4.1 (3.2-5.2)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5.7 (3.6-7.0)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-0.3-8.1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-1.2-8.4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0.7-9.1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-0.2-9.4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Гемоглобин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11.9 (2.1)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11.8 (1.4)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12.7 (2.1)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12.5 (1.4)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11.7 (10.7-13.3)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11.7 (10.8-13.0)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12.5 (11.4-14.0)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12.4 (11.5-13.7)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5.4-16.2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8.8-15.1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6.1-17.0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9.6-15.9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Эритроциты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cantSplit/>
          <w:trHeight w:val="57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4.0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6.5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6.4 (0.7)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(3.7-4.6)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4.0 (3.5-4.5)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6.6 (6.1-6.9)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6.3 (5.8-6.8)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2.8-5.7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2.8-5.3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5.1-8.0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5.2-7.6</w:t>
            </w:r>
          </w:p>
        </w:tc>
        <w:tc>
          <w:tcPr>
            <w:tcBorders>
              <w:bottom w:val="single" w:sz="8" w:space="0" w:color="000000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Welch Two Sample t-test</w:t>
            </w:r>
          </w:p>
        </w:tc>
      </w:tr>
    </w:tbl>
    <w:p>
      <w:r>
        <w:br w:type="page"/>
      </w:r>
    </w:p>
    <w:bookmarkEnd w:id="26"/>
    <w:bookmarkStart w:id="27" w:name="таблица-2-dplyr-purrr-flextable"/>
    <w:p>
      <w:pPr>
        <w:pStyle w:val="4"/>
      </w:pPr>
      <w:r>
        <w:t xml:space="preserve">Таблица 2 (dplyr + purrr + flextable)</w:t>
      </w:r>
    </w:p>
    <w:bookmarkEnd w:id="27"/>
    <w:bookmarkStart w:id="28" w:name="X695ba295f6ca01060c6add19e3d006624c64a46"/>
    <w:p>
      <w:pPr>
        <w:pStyle w:val="4"/>
      </w:pPr>
      <w:r>
        <w:t xml:space="preserve">Описательная статистика по показателям крови по визитам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417"/>
        <w:gridCol w:w="1417"/>
        <w:gridCol w:w="850"/>
        <w:gridCol w:w="1417"/>
        <w:gridCol w:w="1417"/>
        <w:gridCol w:w="85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Характеристика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Визит 2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1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Группа 2</w:t>
              <w:br/>
              <w:t xml:space="preserve">N = 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Базофилы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 (0.4)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1.1 (0.4)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 (0.3-0.8)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 (0.5-0.9)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 (0.7-1.2)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1.1 (0.9-1.3)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-0.2-1.6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-0.0-1.7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0.2-2.0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0.4-2.1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Эозинофилы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3.2 (1.8)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(2.4)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(1.8)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5.3 (2.4)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3.1 (2.2-4.2)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4.6 (2.6-6.0)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4.1 (3.2-5.2)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5.7 (3.6-7.0)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-0.3-8.1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-1.2-8.4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0.7-9.1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-0.2-9.4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Гемоглобин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11.9 (2.1)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11.8 (1.4)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12.7 (2.1)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12.5 (1.4)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11.7 (10.7-13.3)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11.7 (10.8-13.0)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12.5 (11.4-14.0)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12.4 (11.5-13.7)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5.4-16.2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8.8-15.1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6.1-17.0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9.6-15.9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Эритроциты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Среднее (Станд.откл.)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4.0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6.5 (0.7)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6.4 (0.7)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Медиана (Q1-Q3)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4.2 (3.7-4.6)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4.0 (3.5-4.5)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6.5 (6.1-6.9)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6.3 (5.8-6.8)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Минимум-Максимум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2.8-5.7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2.8-5.3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5.1-8.0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5.2-7.6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Welch Two Sample t-test</w:t>
            </w:r>
          </w:p>
        </w:tc>
      </w:tr>
    </w:tbl>
    <w:bookmarkEnd w:id="28"/>
    <w:bookmarkEnd w:id="29"/>
    <w:sectPr w:rsidR="00655FC3" w:rsidRPr="003812F0" w:rsidSect="00A94B8D">
      <w:pgSz w:h="16838" w:w="11906"/>
      <w:pgMar w:bottom="1134" w:footer="720" w:gutter="0" w:header="720" w:left="1134" w:right="1134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9C815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14AED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7CE73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5D010B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97097C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D28D89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3A2072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D229B0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A12E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B48AE1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3C1028C"/>
    <w:multiLevelType w:val="multilevel"/>
    <w:tmpl w:val="889C60C4"/>
    <w:lvl w:ilvl="0">
      <w:start w:val="1"/>
      <w:numFmt w:val="decimal"/>
      <w:lvlText w:val="%1."/>
      <w:lvlJc w:val="left"/>
      <w:pPr>
        <w:ind w:hanging="390" w:left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42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21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32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391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49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56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67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7472"/>
      </w:pPr>
      <w:rPr>
        <w:rFonts w:hint="default"/>
      </w:rPr>
    </w:lvl>
  </w:abstractNum>
  <w:abstractNum w15:restartNumberingAfterBreak="0" w:abstractNumId="11">
    <w:nsid w:val="2C1AE401"/>
    <w:multiLevelType w:val="multilevel"/>
    <w:tmpl w:val="4574F9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7991D72"/>
    <w:multiLevelType w:val="hybridMultilevel"/>
    <w:tmpl w:val="046E2F66"/>
    <w:lvl w:ilvl="0" w:tplc="C56671A2">
      <w:start w:val="1"/>
      <w:numFmt w:val="decimal"/>
      <w:lvlText w:val="%1."/>
      <w:lvlJc w:val="left"/>
      <w:pPr>
        <w:ind w:hanging="360" w:left="1429"/>
      </w:pPr>
    </w:lvl>
    <w:lvl w:ilvl="1" w:tentative="1" w:tplc="04190019">
      <w:start w:val="1"/>
      <w:numFmt w:val="lowerLetter"/>
      <w:lvlText w:val="%2."/>
      <w:lvlJc w:val="left"/>
      <w:pPr>
        <w:ind w:hanging="360" w:left="2149"/>
      </w:pPr>
    </w:lvl>
    <w:lvl w:ilvl="2" w:tentative="1" w:tplc="0419001B">
      <w:start w:val="1"/>
      <w:numFmt w:val="lowerRoman"/>
      <w:lvlText w:val="%3."/>
      <w:lvlJc w:val="right"/>
      <w:pPr>
        <w:ind w:hanging="180" w:left="2869"/>
      </w:pPr>
    </w:lvl>
    <w:lvl w:ilvl="3" w:tentative="1" w:tplc="0419000F">
      <w:start w:val="1"/>
      <w:numFmt w:val="decimal"/>
      <w:lvlText w:val="%4."/>
      <w:lvlJc w:val="left"/>
      <w:pPr>
        <w:ind w:hanging="360" w:left="3589"/>
      </w:pPr>
    </w:lvl>
    <w:lvl w:ilvl="4" w:tentative="1" w:tplc="04190019">
      <w:start w:val="1"/>
      <w:numFmt w:val="lowerLetter"/>
      <w:lvlText w:val="%5."/>
      <w:lvlJc w:val="left"/>
      <w:pPr>
        <w:ind w:hanging="360" w:left="4309"/>
      </w:pPr>
    </w:lvl>
    <w:lvl w:ilvl="5" w:tentative="1" w:tplc="0419001B">
      <w:start w:val="1"/>
      <w:numFmt w:val="lowerRoman"/>
      <w:lvlText w:val="%6."/>
      <w:lvlJc w:val="right"/>
      <w:pPr>
        <w:ind w:hanging="180" w:left="5029"/>
      </w:pPr>
    </w:lvl>
    <w:lvl w:ilvl="6" w:tentative="1" w:tplc="0419000F">
      <w:start w:val="1"/>
      <w:numFmt w:val="decimal"/>
      <w:lvlText w:val="%7."/>
      <w:lvlJc w:val="left"/>
      <w:pPr>
        <w:ind w:hanging="360" w:left="5749"/>
      </w:pPr>
    </w:lvl>
    <w:lvl w:ilvl="7" w:tentative="1" w:tplc="04190019">
      <w:start w:val="1"/>
      <w:numFmt w:val="lowerLetter"/>
      <w:lvlText w:val="%8."/>
      <w:lvlJc w:val="left"/>
      <w:pPr>
        <w:ind w:hanging="360" w:left="6469"/>
      </w:pPr>
    </w:lvl>
    <w:lvl w:ilvl="8" w:tentative="1" w:tplc="0419001B">
      <w:start w:val="1"/>
      <w:numFmt w:val="lowerRoman"/>
      <w:lvlText w:val="%9."/>
      <w:lvlJc w:val="right"/>
      <w:pPr>
        <w:ind w:hanging="180" w:left="7189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169FF"/>
    <w:pPr>
      <w:spacing w:after="0" w:line="360" w:lineRule="auto"/>
      <w:ind w:firstLine="720"/>
    </w:pPr>
    <w:rPr>
      <w:sz w:val="24"/>
    </w:rPr>
  </w:style>
  <w:style w:styleId="1" w:type="paragraph">
    <w:name w:val="heading 1"/>
    <w:basedOn w:val="a"/>
    <w:next w:val="a"/>
    <w:link w:val="10"/>
    <w:uiPriority w:val="9"/>
    <w:qFormat/>
    <w:rsid w:val="00D47751"/>
    <w:pPr>
      <w:keepNext/>
      <w:keepLines/>
      <w:tabs>
        <w:tab w:pos="426" w:val="left"/>
      </w:tabs>
      <w:spacing w:after="240" w:before="240" w:line="240" w:lineRule="auto"/>
      <w:ind w:firstLine="0"/>
      <w:outlineLvl w:val="0"/>
    </w:pPr>
    <w:rPr>
      <w:rFonts w:cstheme="majorBidi" w:eastAsiaTheme="majorEastAsia"/>
      <w:b/>
      <w:bCs/>
      <w:color w:themeColor="accent1" w:themeShade="BF" w:val="365F91"/>
      <w:sz w:val="32"/>
      <w:szCs w:val="28"/>
    </w:rPr>
  </w:style>
  <w:style w:styleId="2" w:type="paragraph">
    <w:name w:val="heading 2"/>
    <w:basedOn w:val="a"/>
    <w:next w:val="a"/>
    <w:link w:val="20"/>
    <w:uiPriority w:val="9"/>
    <w:unhideWhenUsed/>
    <w:qFormat/>
    <w:rsid w:val="00D47751"/>
    <w:pPr>
      <w:keepNext/>
      <w:keepLines/>
      <w:tabs>
        <w:tab w:pos="993" w:val="left"/>
      </w:tabs>
      <w:spacing w:after="240" w:before="240" w:line="240" w:lineRule="auto"/>
      <w:ind w:firstLine="0"/>
      <w:outlineLvl w:val="1"/>
    </w:pPr>
    <w:rPr>
      <w:rFonts w:cstheme="majorBidi" w:eastAsiaTheme="majorEastAsia"/>
      <w:b/>
      <w:bCs/>
      <w:color w:themeColor="accent1" w:themeShade="BF" w:val="365F91"/>
      <w:sz w:val="28"/>
      <w:szCs w:val="26"/>
    </w:rPr>
  </w:style>
  <w:style w:styleId="3" w:type="paragraph">
    <w:name w:val="heading 3"/>
    <w:basedOn w:val="a"/>
    <w:next w:val="a"/>
    <w:link w:val="30"/>
    <w:uiPriority w:val="9"/>
    <w:unhideWhenUsed/>
    <w:qFormat/>
    <w:rsid w:val="00D47751"/>
    <w:pPr>
      <w:keepNext/>
      <w:keepLines/>
      <w:spacing w:after="120" w:before="120" w:line="240" w:lineRule="auto"/>
      <w:ind w:firstLine="0"/>
      <w:jc w:val="center"/>
      <w:outlineLvl w:val="2"/>
    </w:pPr>
    <w:rPr>
      <w:rFonts w:cstheme="majorBidi" w:eastAsiaTheme="majorEastAsia"/>
      <w:b/>
      <w:bCs/>
      <w:color w:themeColor="accent1" w:themeShade="BF" w:val="365F91"/>
    </w:rPr>
  </w:style>
  <w:style w:styleId="4" w:type="paragraph">
    <w:name w:val="heading 4"/>
    <w:basedOn w:val="a"/>
    <w:next w:val="a"/>
    <w:link w:val="40"/>
    <w:uiPriority w:val="9"/>
    <w:unhideWhenUsed/>
    <w:qFormat/>
    <w:rsid w:val="006B633D"/>
    <w:pPr>
      <w:keepNext/>
      <w:keepLines/>
      <w:spacing w:after="120" w:before="120" w:line="240" w:lineRule="auto"/>
      <w:ind w:firstLine="0"/>
      <w:jc w:val="center"/>
      <w:outlineLvl w:val="3"/>
    </w:pPr>
    <w:rPr>
      <w:rFonts w:cstheme="majorBidi" w:eastAsiaTheme="majorEastAsia"/>
      <w:b/>
      <w:bCs/>
      <w:iCs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"/>
    <w:rsid w:val="00D47751"/>
    <w:rPr>
      <w:rFonts w:cstheme="majorBidi" w:eastAsiaTheme="majorEastAsia"/>
      <w:b/>
      <w:bCs/>
      <w:color w:themeColor="accent1" w:themeShade="BF" w:val="365F91"/>
      <w:sz w:val="32"/>
      <w:szCs w:val="28"/>
    </w:rPr>
  </w:style>
  <w:style w:customStyle="1" w:styleId="20" w:type="character">
    <w:name w:val="Заголовок 2 Знак"/>
    <w:basedOn w:val="a0"/>
    <w:link w:val="2"/>
    <w:uiPriority w:val="9"/>
    <w:rsid w:val="00D47751"/>
    <w:rPr>
      <w:rFonts w:cstheme="majorBidi" w:eastAsiaTheme="majorEastAsia"/>
      <w:b/>
      <w:bCs/>
      <w:color w:themeColor="accent1" w:themeShade="BF" w:val="365F91"/>
      <w:sz w:val="28"/>
      <w:szCs w:val="26"/>
    </w:rPr>
  </w:style>
  <w:style w:styleId="a3" w:type="table">
    <w:name w:val="Table Grid"/>
    <w:basedOn w:val="a1"/>
    <w:uiPriority w:val="59"/>
    <w:rsid w:val="003759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table">
    <w:name w:val="Light Shading"/>
    <w:basedOn w:val="a1"/>
    <w:uiPriority w:val="60"/>
    <w:rsid w:val="003759A8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Table" w:type="table">
    <w:name w:val="Table"/>
    <w:basedOn w:val="11"/>
    <w:uiPriority w:val="99"/>
    <w:rsid w:val="00EC4BFF"/>
    <w:pPr>
      <w:spacing w:line="240" w:lineRule="auto"/>
      <w:jc w:val="center"/>
    </w:pPr>
    <w:tblPr>
      <w:jc w:val="center"/>
      <w:tblBorders>
        <w:top w:color="auto" w:space="0" w:sz="4" w:val="double"/>
        <w:bottom w:color="auto" w:space="0" w:sz="4" w:val="double"/>
      </w:tblBorders>
    </w:tblPr>
    <w:trPr>
      <w:jc w:val="center"/>
    </w:trPr>
    <w:tcPr>
      <w:shd w:color="auto" w:fill="auto" w:val="clear"/>
      <w:tcMar>
        <w:left w:type="dxa" w:w="28"/>
        <w:right w:type="dxa" w:w="28"/>
      </w:tcMar>
    </w:tcPr>
    <w:tblStylePr w:type="firstRow">
      <w:pPr>
        <w:wordWrap/>
        <w:spacing w:after="0" w:afterAutospacing="0" w:afterLines="0" w:before="0" w:beforeAutospacing="0" w:beforeLines="0" w:line="240" w:lineRule="auto"/>
        <w:jc w:val="center"/>
      </w:pPr>
      <w:rPr>
        <w:rFonts w:asciiTheme="minorHAnsi" w:hAnsiTheme="minorHAnsi"/>
        <w:b/>
        <w:sz w:val="24"/>
      </w:rPr>
      <w:tblPr>
        <w:jc w:val="center"/>
      </w:tblPr>
      <w:trPr>
        <w:cantSplit/>
        <w:tblHeader/>
        <w:jc w:val="center"/>
      </w:trPr>
      <w:tcPr>
        <w:tcBorders>
          <w:top w:color="auto" w:space="0" w:sz="4" w:val="double"/>
          <w:left w:val="nil"/>
          <w:bottom w:color="auto" w:space="0" w:sz="4" w:val="double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  <w:tblPr/>
      <w:tcPr>
        <w:tcBorders>
          <w:top w:color="auto" w:space="0" w:sz="4" w:val="double"/>
          <w:left w:val="nil"/>
          <w:bottom w:color="auto" w:space="0" w:sz="4" w:val="double"/>
          <w:right w:color="auto" w:space="0" w:sz="4" w:val="single"/>
          <w:insideH w:val="nil"/>
          <w:insideV w:val="nil"/>
          <w:tl2br w:val="nil"/>
          <w:tr2bl w:val="nil"/>
        </w:tcBorders>
      </w:tcPr>
    </w:tblStylePr>
    <w:tblStylePr w:type="nwCell">
      <w:pPr>
        <w:jc w:val="center"/>
      </w:pPr>
      <w:rPr>
        <w:rFonts w:ascii="Times New Roman" w:hAnsi="Times New Roman"/>
        <w:sz w:val="22"/>
      </w:rPr>
      <w:tblPr/>
      <w:tcPr>
        <w:tcBorders>
          <w:top w:color="auto" w:space="0" w:sz="4" w:val="double"/>
          <w:left w:val="nil"/>
          <w:bottom w:color="auto" w:space="0" w:sz="4" w:val="double"/>
          <w:right w:color="auto" w:space="0" w:sz="4" w:val="single"/>
          <w:insideH w:val="nil"/>
          <w:insideV w:val="nil"/>
          <w:tl2br w:val="nil"/>
          <w:tr2bl w:val="nil"/>
        </w:tcBorders>
      </w:tcPr>
    </w:tblStylePr>
    <w:tblStylePr w:type="seCell">
      <w:pPr>
        <w:wordWrap/>
        <w:spacing w:line="240" w:lineRule="auto"/>
        <w:ind w:firstLine="0" w:firstLineChars="0"/>
      </w:pPr>
      <w:rPr>
        <w:rFonts w:ascii="Times New Roman" w:hAnsi="Times New Roman"/>
        <w:sz w:val="22"/>
      </w:rPr>
      <w:tblPr/>
      <w:tcPr>
        <w:tcBorders>
          <w:top w:val="nil"/>
          <w:left w:val="nil"/>
          <w:bottom w:color="auto" w:space="0" w:sz="4" w:val="double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Times New Roman" w:hAnsi="Times New Roman"/>
        <w:sz w:val="22"/>
      </w:rPr>
      <w:tblPr/>
      <w:tcPr>
        <w:tcBorders>
          <w:top w:val="nil"/>
          <w:left w:val="nil"/>
          <w:bottom w:color="auto" w:space="0" w:sz="4" w:val="double"/>
          <w:right w:color="auto" w:space="0" w:sz="4" w:val="single"/>
          <w:insideH w:val="nil"/>
          <w:insideV w:val="nil"/>
          <w:tl2br w:val="nil"/>
          <w:tr2bl w:val="nil"/>
        </w:tcBorders>
      </w:tcPr>
    </w:tblStylePr>
  </w:style>
  <w:style w:customStyle="1" w:styleId="30" w:type="character">
    <w:name w:val="Заголовок 3 Знак"/>
    <w:basedOn w:val="a0"/>
    <w:link w:val="3"/>
    <w:uiPriority w:val="9"/>
    <w:rsid w:val="00D47751"/>
    <w:rPr>
      <w:rFonts w:cstheme="majorBidi" w:eastAsiaTheme="majorEastAsia"/>
      <w:b/>
      <w:bCs/>
      <w:color w:themeColor="accent1" w:themeShade="BF" w:val="365F91"/>
      <w:sz w:val="24"/>
    </w:rPr>
  </w:style>
  <w:style w:customStyle="1" w:styleId="40" w:type="character">
    <w:name w:val="Заголовок 4 Знак"/>
    <w:basedOn w:val="a0"/>
    <w:link w:val="4"/>
    <w:uiPriority w:val="9"/>
    <w:rsid w:val="006B633D"/>
    <w:rPr>
      <w:rFonts w:cstheme="majorBidi" w:eastAsiaTheme="majorEastAsia"/>
      <w:b/>
      <w:bCs/>
      <w:iCs/>
      <w:sz w:val="24"/>
    </w:rPr>
  </w:style>
  <w:style w:customStyle="1" w:styleId="SourceCode" w:type="paragraph">
    <w:name w:val="Source Code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a5" w:type="paragraph">
    <w:name w:val="Title"/>
    <w:basedOn w:val="a"/>
    <w:next w:val="a"/>
    <w:link w:val="a6"/>
    <w:uiPriority w:val="10"/>
    <w:qFormat/>
    <w:rsid w:val="007238D7"/>
    <w:pPr>
      <w:ind w:firstLine="0"/>
      <w:contextualSpacing/>
      <w:jc w:val="center"/>
    </w:pPr>
    <w:rPr>
      <w:rFonts w:cstheme="majorBidi" w:eastAsiaTheme="majorEastAsia"/>
      <w:b/>
      <w:color w:themeColor="accent1" w:themeShade="BF" w:val="365F91"/>
      <w:spacing w:val="-10"/>
      <w:kern w:val="28"/>
      <w:sz w:val="36"/>
      <w:szCs w:val="56"/>
    </w:rPr>
  </w:style>
  <w:style w:customStyle="1" w:styleId="a6" w:type="character">
    <w:name w:val="Заголовок Знак"/>
    <w:basedOn w:val="a0"/>
    <w:link w:val="a5"/>
    <w:uiPriority w:val="10"/>
    <w:rsid w:val="007238D7"/>
    <w:rPr>
      <w:rFonts w:cstheme="majorBidi" w:eastAsiaTheme="majorEastAsia"/>
      <w:b/>
      <w:color w:themeColor="accent1" w:themeShade="BF" w:val="365F91"/>
      <w:spacing w:val="-10"/>
      <w:kern w:val="28"/>
      <w:sz w:val="36"/>
      <w:szCs w:val="56"/>
    </w:rPr>
  </w:style>
  <w:style w:styleId="a7" w:type="paragraph">
    <w:name w:val="Subtitle"/>
    <w:basedOn w:val="a"/>
    <w:next w:val="a"/>
    <w:link w:val="a8"/>
    <w:uiPriority w:val="11"/>
    <w:qFormat/>
    <w:rsid w:val="00695B8F"/>
    <w:pPr>
      <w:numPr>
        <w:ilvl w:val="1"/>
      </w:numPr>
      <w:spacing w:after="120" w:before="120"/>
      <w:ind w:firstLine="720"/>
      <w:jc w:val="center"/>
    </w:pPr>
    <w:rPr>
      <w:rFonts w:eastAsiaTheme="minorEastAsia"/>
      <w:color w:themeColor="text1" w:themeTint="A5" w:val="5A5A5A"/>
      <w:spacing w:val="15"/>
      <w:sz w:val="22"/>
    </w:rPr>
  </w:style>
  <w:style w:customStyle="1" w:styleId="a8" w:type="character">
    <w:name w:val="Подзаголовок Знак"/>
    <w:basedOn w:val="a0"/>
    <w:link w:val="a7"/>
    <w:uiPriority w:val="11"/>
    <w:rsid w:val="00695B8F"/>
    <w:rPr>
      <w:rFonts w:eastAsiaTheme="minorEastAsia"/>
      <w:color w:themeColor="text1" w:themeTint="A5" w:val="5A5A5A"/>
      <w:spacing w:val="15"/>
    </w:rPr>
  </w:style>
  <w:style w:customStyle="1" w:styleId="Author" w:type="paragraph">
    <w:name w:val="Author"/>
    <w:basedOn w:val="a"/>
    <w:link w:val="Author0"/>
    <w:qFormat/>
    <w:rsid w:val="007238D7"/>
    <w:pPr>
      <w:spacing w:after="120" w:before="120" w:line="240" w:lineRule="auto"/>
      <w:ind w:firstLine="0"/>
      <w:jc w:val="center"/>
    </w:pPr>
    <w:rPr>
      <w:sz w:val="28"/>
    </w:rPr>
  </w:style>
  <w:style w:styleId="a9" w:type="paragraph">
    <w:name w:val="Date"/>
    <w:basedOn w:val="a"/>
    <w:next w:val="a"/>
    <w:link w:val="aa"/>
    <w:uiPriority w:val="99"/>
    <w:semiHidden/>
    <w:unhideWhenUsed/>
    <w:rsid w:val="008A4C17"/>
    <w:pPr>
      <w:spacing w:after="120" w:before="120" w:line="240" w:lineRule="auto"/>
      <w:ind w:firstLine="0"/>
      <w:jc w:val="center"/>
    </w:pPr>
  </w:style>
  <w:style w:customStyle="1" w:styleId="Author0" w:type="character">
    <w:name w:val="Author Знак"/>
    <w:basedOn w:val="a0"/>
    <w:link w:val="Author"/>
    <w:rsid w:val="007238D7"/>
    <w:rPr>
      <w:sz w:val="28"/>
    </w:rPr>
  </w:style>
  <w:style w:customStyle="1" w:styleId="aa" w:type="character">
    <w:name w:val="Дата Знак"/>
    <w:basedOn w:val="a0"/>
    <w:link w:val="a9"/>
    <w:uiPriority w:val="99"/>
    <w:semiHidden/>
    <w:rsid w:val="008A4C17"/>
    <w:rPr>
      <w:sz w:val="24"/>
    </w:rPr>
  </w:style>
  <w:style w:styleId="11" w:type="table">
    <w:name w:val="Table Simple 1"/>
    <w:basedOn w:val="a1"/>
    <w:uiPriority w:val="99"/>
    <w:semiHidden/>
    <w:unhideWhenUsed/>
    <w:rsid w:val="00EC4BFF"/>
    <w:pPr>
      <w:spacing w:after="0" w:line="360" w:lineRule="auto"/>
      <w:ind w:firstLine="72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Описательная статистика</dc:title>
  <dc:creator>Мироненко Ольга</dc:creator>
  <cp:keywords/>
  <dcterms:created xsi:type="dcterms:W3CDTF">2022-11-07T16:44:29Z</dcterms:created>
  <dcterms:modified xsi:type="dcterms:W3CDTF">2022-11-07T16:44:29Z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