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8"/>
          <w:sz w:val="36"/>
          <w:szCs w:val="36"/>
        </w:rPr>
        <w:t xml:space="preserve">Inventory ICT &amp; PPE (CY 2022-2024) — Migration Findings, All Regions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Source: Inventory ICT_PPE CY 2022-2024 duplicate.xlsx  →  Target: dar_inventory (MySQL)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workbook has 19 usable tabs (DARCO, CAR, and 17 regions/partner agencies) totaling 4,572 inventory line items and a combined Unit Cost of ₱767,321,587. Per your instruction, the "Conso list" and "Summary DAR and Regions" tabs were excluded — they aggregate the other 19 tabs rather than adding new source rows.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is the same analysis already done for CAR, extended to every other tab, plus a search for structural issues CAR did not have. All row-level detail (strikethrough, bundled accessories, duplicate property numbers, casing variants, PAR/PTR anomalies, new equipment models, and two DARCO-specific issues) is in the companion workbook Inventory_Review_Flags_AllRegions.xlsx, organized into one tab per issue type with a shaded divider row starting each region's block, in this order: DARCO, CAR, R-I, R-II, R-III, R-IVA, R-IVB, R-V, R-VI, NIR, R-VII, R-VIII, R-IX, R-X, R-XI, R-XII, CARAGA, DENR, LRA. This document carries the narrative and the decisions still needed from you.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Depreciation Cost was disregarded throughout, as before.</w:t>
      </w:r>
    </w:p>
    <w:p>
      <w:pPr>
        <w:pStyle w:val="Heading1"/>
        <w:spacing w:after="160" w:before="320"/>
      </w:pPr>
      <w:r>
        <w:t xml:space="preserve">2. Per-Region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900"/>
        <w:gridCol w:w="1000"/>
        <w:gridCol w:w="1200"/>
        <w:gridCol w:w="1000"/>
        <w:gridCol w:w="15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Unit Cost Total</w:t>
            </w:r>
          </w:p>
        </w:tc>
        <w:tc>
          <w:tcPr>
            <w:tcW w:type="dxa" w:w="1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Strikethrough</w:t>
            </w:r>
          </w:p>
        </w:tc>
        <w:tc>
          <w:tcPr>
            <w:tcW w:type="dxa" w:w="1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Bundled Accessory</w:t>
            </w:r>
          </w:p>
        </w:tc>
        <w:tc>
          <w:tcPr>
            <w:tcW w:type="dxa" w:w="1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Dup. Property #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Office Blank 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DARCO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730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₱21,825,024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242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₱59,220,516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37.6%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₱38,562,792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4.3%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R-II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₱65,632,402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3.6%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R-III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₱56,729,234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8.7%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R-IVA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₱47,495,046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14.8%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R-IVB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₱52,721,292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R-V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333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₱79,319,104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4.8%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R-VI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₱39,693,436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1.2%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NIR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189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₱26,114,652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43.9%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R-VII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₱21,640,624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12.5%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R-VIII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362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₱62,964,448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14.9%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R-IX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₱36,632,634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R-X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241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₱37,058,538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7.9%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R-XI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₱41,831,528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R-XII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272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₱38,272,288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CARAGA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₱40,335,472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0.4%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DENR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₱1,272,557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23.3%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LRA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38.5%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Grand total: 4,572 rows, ₱767,321,587.</w:t>
      </w:r>
    </w:p>
    <w:p>
      <w:pPr>
        <w:pStyle w:val="Heading1"/>
        <w:spacing w:after="160" w:before="320"/>
      </w:pPr>
      <w:r>
        <w:t xml:space="preserve">3. Inconsistencies Not Present in CAR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Six patterns showed up in this file that CAR's tab did not have. Each needs a decision — see the questions at the end of this document.</w:t>
      </w:r>
    </w:p>
    <w:p>
      <w:pPr>
        <w:pStyle w:val="Heading2"/>
        <w:spacing w:after="120" w:before="240"/>
      </w:pPr>
      <w:r>
        <w:t xml:space="preserve">3.1 DARCO's Plate/Body/Chassis numbers are combined into one field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Every other region calls this column SERIAL NUMBER; DARCO's header reads PLATE NUMBER instead, and 26 of its vehicle rows hold 2-3 slash-separated codes in a single cell — e.g. row 3: "Y3-B075/SNC 1049/NFX 1710". fleetvehicles already has separate PlateNumber, BodyNumber, EngineNumber, and ChassisNumberVIN columns (added in the CAR schema work), so this data CAN be split — but nothing in the source file labels which segment is which. All 26 rows are listed in the companion workbook's DARCO_Plate_Number_Split tab.</w:t>
      </w:r>
    </w:p>
    <w:p>
      <w:pPr>
        <w:pStyle w:val="Heading2"/>
        <w:spacing w:after="120" w:before="240"/>
      </w:pPr>
      <w:r>
        <w:t xml:space="preserve">3.2 DARCO's Remarks column holds informal holder nicknames, not condition notes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In CAR and most other regions, REMARKS describes equipment condition (bundled accessories, "FOR REPAIR", etc.). In DARCO, 14 rows instead carry a short nickname or region tag — "Asec Kit", "Dir Enzo", "REGION VIII", "CARPO Glo" — that looks like an informal note on who the vehicle is actually deployed to, separate from the formal ISSUED TO / NAME OF END USER columns. All 14 rows are in the companion workbook's DARCO_Remarks_Personnel tab.</w:t>
      </w:r>
    </w:p>
    <w:p>
      <w:pPr>
        <w:pStyle w:val="Heading2"/>
        <w:spacing w:after="120" w:before="240"/>
      </w:pPr>
      <w:r>
        <w:t xml:space="preserve">3.3 Bundled-accessory remarks sometimes name a specific accessory user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CAR's 16 bundled-accessory rows (printer/UPS/monitor riding on a desktop's line item) only ever gave a status ("UNSERVICEABLE", "FOR REPAIR"). Across the other regions this pattern repeats 190+ times, and 13 of those rows go further and name who actually has the accessory — e.g. R-III row 98: "Printer User\n Roel Dagdag" (the desktop's owner is someone else), or R-IX row 43: "UPS UNSERVICEABLE UPS, MONITOR C/o Daniel Tauy (STOD)". The CAR schema gives every bundled accessory its own AssetTag and its own CurrentOwnerID via assets.BundledWithAssetTag — the open question is only whether to populate that accessory's owner from this named person instead of copying the parent desktop's owner.</w:t>
      </w:r>
    </w:p>
    <w:p>
      <w:pPr>
        <w:pStyle w:val="Heading2"/>
        <w:spacing w:after="120" w:before="240"/>
      </w:pPr>
      <w:r>
        <w:t xml:space="preserve">3.4 A much higher share of duplicate Property Numbers looks like genuine error, not batching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CAR had 5 duplicate property-number pairs, all but one matching a clean pattern (an RTK + Total Station bought together, same province). Across all 19 tabs there are 66 duplicate pairs; only 30 fit that same clean pattern. The other 36 pair up rows in different provinces, or pair equipment that has nothing to do with each other — R-VIII alone has 3 pairs where a Desktop Computer and a Motorcycle share one property number, and R-IX has pairs spanning three different provinces. This doesn't require a schema change (PropertyNumber was already designed as a non-unique reference column, not a key) but it does mean roughly half of the repeated property numbers in this file are actual data-entry duplicates worth flagging back to the regions, not intentional batch references. Full list with a likely-cause flag on each pair is in the companion workbook.</w:t>
      </w:r>
    </w:p>
    <w:p>
      <w:pPr>
        <w:pStyle w:val="Heading2"/>
        <w:spacing w:after="120" w:before="240"/>
      </w:pPr>
      <w:r>
        <w:t xml:space="preserve">3.5 PAR/PTR/ICS No. sometimes legitimately holds two document numbers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CAR's PAR/PTR anomalies were mostly Excel auto-converting a date-like string into a real date. That still happens here (R-IVB has 28 such rows, R-VIII has 69), but several regions also deliberately record two reference numbers in one cell — R-V has 40 rows formatted "PTR:2023-SPLIT-003\n PAR:SPLIT-23-01-001", and similar patterns appear in R-VII, R-IX, R-X, and R-XII. This isn't an error to clean up — it's evidence that a single-value DocumentNo column (added to assetassignments for CAR) is one column short for regions that track both a PAR and a PTR for the same handover. The cleaner fix is to let these become two separate assetassignments rows (one per document/event) rather than force both numbers into one field — assetassignments is already a one-row-per-transaction history table, so this fits without a further schema change.</w:t>
      </w:r>
    </w:p>
    <w:p>
      <w:pPr>
        <w:pStyle w:val="Heading2"/>
        <w:spacing w:after="120" w:before="240"/>
      </w:pPr>
      <w:r>
        <w:t xml:space="preserve">3.6 New equipment models, including a cost clue that resolves CAR's 2 unclassified rows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6 equipment descriptions outside CAR's catalog turned up (case-variant duplicates of CAR models were excluded):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1200"/>
        <w:gridCol w:w="1500"/>
      </w:tblGrid>
      <w:tr>
        <w:trPr>
          <w:tblHeader/>
        </w:trPr>
        <w:tc>
          <w:tcPr>
            <w:tcW w:type="dxa" w:w="3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Equipment (as found)</w:t>
            </w:r>
          </w:p>
        </w:tc>
        <w:tc>
          <w:tcPr>
            <w:tcW w:type="dxa" w:w="3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Region(s)</w:t>
            </w:r>
          </w:p>
        </w:tc>
        <w:tc>
          <w:tcPr>
            <w:tcW w:type="dxa" w:w="1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 Cost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LAPTOP MSI KATANA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DARCO, DENR, LRA, R-IVA, R-IX, R-V, R-VII, R-X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₱142,100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Global Navigation Satellite System Real Time Kinematic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R-III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₱4,420,000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PLOTTER (3IN1) / HP Designjet T908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R-III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₱598,888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HILUX TAMARAW 2.4 UTILITY VAN DSL MT-UVR -25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R-V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₱1,498,000 (same as CAR's "-24" batch)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HP PRINTER (no model given)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R-XII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DENR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₱1,272,557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third row is the important one. CAR had 2 rows (236, 237) with a Unit Cost of ₱598,888 and a 2026 property number, but no equipment description at all — flagged for manual completion in the CAR review workbook. R-III row 242 has the exact same cost (₱598,888), the exact same 2026 property-number pattern ("2026-05-14-10201SP0xx-01"), and an equipment description: "PLOTTER (3IN1) / HP Designjet T908". That's a strong match — the same national 2026 plotter procurement batch, recorded with the description in R-III but left blank in CAR. R-III's own row 242 has a different problem: it crams two equipment names into one cell as if two plotters were merged into a single line item with one combined cost.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SERVER is also a new category (not desktop, laptop, printer, or vehicle) — equipmentcatalog.Category is a free-text field so this needs no schema change, just a new catalog row.</w:t>
      </w:r>
    </w:p>
    <w:p>
      <w:pPr>
        <w:pStyle w:val="Heading2"/>
        <w:spacing w:after="120" w:before="240"/>
      </w:pPr>
      <w:r>
        <w:t xml:space="preserve">3.7 Two smaller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NIR's OFFICE column header (row 2, column L) is blank, but the data itself is intact underneath ("SPLIT OFFICE", "STOD - PMEU", etc.) — a labeling gap, not a data-loss issue. No action needed beyond mapping column L positionally.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Province/Office casing inconsistency (Title Case vs ALL CAPS for the same province) recurs in R-I, R-III, R-VIII, and R-XI, the same issue already flagged for CAR — same fix (normalize to one canonical spelling) applies everywhere.</w:t>
      </w:r>
    </w:p>
    <w:p>
      <w:pPr>
        <w:pStyle w:val="Heading1"/>
        <w:spacing w:after="160" w:before="320"/>
      </w:pPr>
      <w:r>
        <w:t xml:space="preserve">4. Schema Impact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No further DDL changes are required beyond dar_inventory_schema_updates.sql already sent for CAR. Every new pattern above is handled by columns that script already added (PropertyNumber, BundledWithAssetTag, ReferenceType/DocumentNo) or by inserting more catalog rows (equipmentcatalog.Category already accepts "Server" as freely as "Desktop Computer"). The one open design question is 3.5: whether a handover with both a PAR and a PTR number becomes two assetassignments rows (recommended, no schema change) or whether DocumentNo should instead become a small child table for a one-to-many relationship. Recommend the former unless you expect to track more than 2 documents per handover regularly.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2026-09-13T07:30:10.391Z</dcterms:created>
  <dcterms:modified xsi:type="dcterms:W3CDTF">2026-09-13T07:30:10.391Z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