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Learning Design for: MA22004 (Week)</w:t>
      </w:r>
      <w:bookmarkEnd w:id="1"/>
    </w:p>
    <w:p>
      <w:pPr>
        <w:pStyle w:val="Heading2"/>
      </w:pPr>
      <w:bookmarkStart w:id="2" w:name="_Toc2"/>
      <w:r>
        <w:t>Context</w:t>
      </w:r>
      <w:bookmarkEnd w:id="2"/>
    </w:p>
    <w:p>
      <w:pPr/>
      <w:r>
        <w:rPr/>
        <w:t xml:space="preserve">Topic: Statistics and Probability II</w:t>
      </w:r>
    </w:p>
    <w:p>
      <w:pPr/>
      <w:r>
        <w:rPr/>
        <w:t xml:space="preserve">Total learning time: 17 hours and 30 minutes</w:t>
      </w:r>
    </w:p>
    <w:p>
      <w:pPr/>
      <w:r>
        <w:rPr/>
        <w:t xml:space="preserve">Designed learning time: 17 hours and 30 minutes</w:t>
      </w:r>
    </w:p>
    <w:p>
      <w:pPr/>
      <w:r>
        <w:rPr/>
        <w:t xml:space="preserve">Size of class: 60</w:t>
      </w:r>
    </w:p>
    <w:p>
      <w:pPr/>
      <w:r>
        <w:rPr/>
        <w:t xml:space="preserve">Description: Statistics II</w:t>
      </w:r>
    </w:p>
    <w:p>
      <w:pPr/>
      <w:r>
        <w:rPr/>
        <w:t xml:space="preserve">Mode of delivery: Blended</w:t>
      </w:r>
    </w:p>
    <w:p>
      <w:pPr>
        <w:pStyle w:val="Heading2"/>
      </w:pPr>
      <w:bookmarkStart w:id="3" w:name="_Toc3"/>
      <w:r>
        <w:t>Aims</w:t>
      </w:r>
      <w:bookmarkEnd w:id="3"/>
    </w:p>
    <w:p>
      <w:pPr/>
      <w:r>
        <w:rPr/>
        <w:t xml:space="preserve"/>
      </w:r>
    </w:p>
    <w:p>
      <w:pPr>
        <w:pStyle w:val="Heading2"/>
      </w:pPr>
      <w:bookmarkStart w:id="4" w:name="_Toc4"/>
      <w:r>
        <w:t>Outcomes</w:t>
      </w:r>
      <w:bookmarkEnd w:id="4"/>
    </w:p>
    <w:p/>
    <w:p>
      <w:pPr>
        <w:pStyle w:val="Heading2"/>
      </w:pPr>
      <w:bookmarkStart w:id="5" w:name="_Toc5"/>
      <w:r>
        <w:t>Teaching-Learning activities</w:t>
      </w:r>
      <w:bookmarkEnd w:id="5"/>
    </w:p>
    <w:p>
      <w:pPr>
        <w:pStyle w:val="Heading3"/>
      </w:pPr>
      <w:bookmarkStart w:id="6" w:name="_Toc6"/>
      <w:r>
        <w:t>Seminar Reading (E)</w:t>
      </w:r>
      <w:bookmarkEnd w:id="6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Read Watch Listen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3 hours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Read lecture notes.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Collaborate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 hour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6 students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[Pre Seminar] Comment on lecture notes through Persuall (measure engagement by fixed number of questions/answers asked).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Investigate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 hour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[Post Seminar] Understand connections between material by exploring comments and questions and through reflection.</w:t>
      </w:r>
    </w:p>
    <w:p/>
    <w:p>
      <w:pPr>
        <w:pStyle w:val="Heading3"/>
      </w:pPr>
      <w:bookmarkStart w:id="7" w:name="_Toc7"/>
      <w:r>
        <w:t>Preparation: Seminar Investigation</w:t>
      </w:r>
      <w:bookmarkEnd w:id="7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Investigate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 hour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Supplementary online material (curated content).</w:t>
      </w:r>
    </w:p>
    <w:p/>
    <w:p>
      <w:pPr>
        <w:pStyle w:val="Heading3"/>
      </w:pPr>
      <w:bookmarkStart w:id="8" w:name="_Toc8"/>
      <w:r>
        <w:t>Seminar (E, A)</w:t>
      </w:r>
      <w:bookmarkEnd w:id="8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Produce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10 minutes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Seminar quiz (measure attainment based on quiz grade).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Discuss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40 minutes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60 students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Review key points of material with appropriate polling (measure engagement by participation in polling and discussion).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Practice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10 minutes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6 students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[Break-out rooms] Student presentations: either practice problems from seminar quiz or lab presentations.</w:t>
      </w:r>
    </w:p>
    <w:p/>
    <w:p>
      <w:pPr>
        <w:pStyle w:val="Heading3"/>
      </w:pPr>
      <w:bookmarkStart w:id="9" w:name="_Toc9"/>
      <w:r>
        <w:t>Computer lab (E, A)</w:t>
      </w:r>
      <w:bookmarkEnd w:id="9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Read Watch Listen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 hour and 30 minutes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Read instructions and examples.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Practice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2 hours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Practice coding and respond to simple interactive elements that deliver instant feedback (measure engagement by responding to interactive elements).</w:t>
      </w:r>
    </w:p>
    <w:p/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Produce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2 hours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Answer review questions and submit for evaluation (measure attainment based on answers to review questions).</w:t>
      </w:r>
    </w:p>
    <w:p/>
    <w:p>
      <w:pPr>
        <w:pStyle w:val="Heading3"/>
      </w:pPr>
      <w:bookmarkStart w:id="10" w:name="_Toc10"/>
      <w:r>
        <w:t>Preparation: Workshop</w:t>
      </w:r>
      <w:bookmarkEnd w:id="10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Practice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2 hours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1 student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not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Attempt workshop problems.</w:t>
      </w:r>
    </w:p>
    <w:p/>
    <w:p>
      <w:pPr>
        <w:pStyle w:val="Heading3"/>
      </w:pPr>
      <w:bookmarkStart w:id="11" w:name="_Toc11"/>
      <w:r>
        <w:t>Workshop [Face-to-face]</w:t>
      </w:r>
      <w:bookmarkEnd w:id="11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Collaborate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1 hour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6 students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F2F</w:t>
            </w:r>
          </w:p>
        </w:tc>
      </w:tr>
    </w:tbl>
    <w:p>
      <w:pPr/>
      <w:r>
        <w:rPr/>
        <w:t xml:space="preserve">Students discuss problems together in small groups. [This could be done using break-out rooms if face-to-face meeting not possible].</w:t>
      </w:r>
    </w:p>
    <w:p/>
    <w:p>
      <w:pPr>
        <w:pStyle w:val="Heading3"/>
      </w:pPr>
      <w:bookmarkStart w:id="12" w:name="_Toc12"/>
      <w:r>
        <w:t>Office Hours</w:t>
      </w:r>
      <w:bookmarkEnd w:id="12"/>
    </w:p>
    <w:tbl>
      <w:tblGrid>
        <w:gridCol w:w="2040.9448818898" w:type="dxa"/>
        <w:gridCol w:w="2551.1811023622" w:type="dxa"/>
        <w:gridCol w:w="1530.7086614173" w:type="dxa"/>
        <w:gridCol w:w="2324.4094488189" w:type="dxa"/>
        <w:gridCol w:w="958.11023622047" w:type="dxa"/>
      </w:tblGrid>
      <w:tr>
        <w:trPr/>
        <w:tc>
          <w:tcPr>
            <w:tcW w:w="2040.9448818898" w:type="dxa"/>
          </w:tcPr>
          <w:p>
            <w:pPr/>
            <w:r>
              <w:rPr>
                <w:i/>
                <w:iCs/>
              </w:rPr>
              <w:t xml:space="preserve">Discuss</w:t>
            </w:r>
          </w:p>
        </w:tc>
        <w:tc>
          <w:tcPr>
            <w:tcW w:w="2551.1811023622" w:type="dxa"/>
          </w:tcPr>
          <w:p>
            <w:pPr/>
            <w:r>
              <w:rPr>
                <w:i/>
                <w:iCs/>
              </w:rPr>
              <w:t xml:space="preserve">2 hours</w:t>
            </w:r>
          </w:p>
        </w:tc>
        <w:tc>
          <w:tcPr>
            <w:tcW w:w="1530.7086614173" w:type="dxa"/>
          </w:tcPr>
          <w:p>
            <w:pPr/>
            <w:r>
              <w:rPr>
                <w:i/>
                <w:iCs/>
              </w:rPr>
              <w:t xml:space="preserve">6 students</w:t>
            </w:r>
          </w:p>
        </w:tc>
        <w:tc>
          <w:tcPr>
            <w:tcW w:w="2324.4094488189" w:type="dxa"/>
          </w:tcPr>
          <w:p>
            <w:pPr/>
            <w:r>
              <w:rPr>
                <w:i/>
                <w:iCs/>
              </w:rPr>
              <w:t xml:space="preserve">Tutor is available</w:t>
            </w:r>
          </w:p>
        </w:tc>
        <w:tc>
          <w:tcPr>
            <w:tcW w:w="958.11023622047" w:type="dxa"/>
          </w:tcPr>
          <w:p>
            <w:pPr/>
            <w:r>
              <w:rPr>
                <w:i/>
                <w:iCs/>
              </w:rPr>
              <w:t xml:space="preserve">Online</w:t>
            </w:r>
          </w:p>
        </w:tc>
      </w:tr>
    </w:tbl>
    <w:p>
      <w:pPr/>
      <w:r>
        <w:rPr/>
        <w:t xml:space="preserve">Instructor available to answer questions about lab/reading. Typically this will not be one-on-one but small group meetings.</w:t>
      </w:r>
    </w:p>
    <w:p/>
    <w:p>
      <w:r>
        <w:br w:type="page"/>
      </w:r>
    </w:p>
    <w:p>
      <w:pPr>
        <w:pStyle w:val="Heading2"/>
      </w:pPr>
      <w:bookmarkStart w:id="13" w:name="_Toc13"/>
      <w:r>
        <w:t>Representations of the learning experience</w:t>
      </w:r>
      <w:bookmarkEnd w:id="13"/>
    </w:p>
    <w:p>
      <w:r>
        <w:drawing>
          <wp:inline>
            <wp:extent cx="2203200" cy="23148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Grid>
        <w:gridCol w:w="62.362204724409" w:type="dxa"/>
        <w:gridCol w:w="3401.5748031496" w:type="dxa"/>
        <w:gridCol w:w="1133.8582677165" w:type="dxa"/>
        <w:gridCol w:w="566.92913385827" w:type="dxa"/>
      </w:tblGrid>
      <w:tblPr>
        <w:tblStyle w:val="AnalysisTable"/>
      </w:tblPr>
      <w:tr>
        <w:trPr/>
        <w:tc>
          <w:tcPr>
            <w:tcW w:w="3463.937007874" w:type="dxa"/>
            <w:vAlign w:val="center"/>
            <w:gridSpan w:val="2"/>
          </w:tcPr>
          <w:p>
            <w:pPr/>
            <w:r>
              <w:rPr>
                <w:b/>
                <w:bCs/>
              </w:rPr>
              <w:t xml:space="preserve">Learning through</w:t>
            </w:r>
          </w:p>
        </w:tc>
        <w:tc>
          <w:tcPr>
            <w:tcW w:w="1133.8582677165" w:type="dxa"/>
            <w:vAlign w:val="center"/>
          </w:tcPr>
          <w:p>
            <w:pPr/>
            <w:r>
              <w:rPr>
                <w:b/>
                <w:bCs/>
              </w:rPr>
              <w:t xml:space="preserve">Minutes</w:t>
            </w:r>
          </w:p>
        </w:tc>
        <w:tc>
          <w:tcPr>
            <w:tcW w:w="566.92913385827" w:type="dxa"/>
          </w:tcPr>
          <w:p>
            <w:pPr/>
            <w:r>
              <w:rPr>
                <w:b/>
                <w:bCs/>
              </w:rPr>
              <w:t xml:space="preserve">%</w:t>
            </w:r>
          </w:p>
        </w:tc>
      </w:tr>
      <w:tr>
        <w:trPr/>
        <w:tc>
          <w:tcPr>
            <w:tcW w:w="62.362204724409" w:type="dxa"/>
            <w:shd w:val="clear" w:fill="67DBF2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Acquisition (Read, Watch, Listen)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270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26</w:t>
            </w:r>
          </w:p>
        </w:tc>
      </w:tr>
      <w:tr>
        <w:trPr/>
        <w:tc>
          <w:tcPr>
            <w:tcW w:w="62.362204724409" w:type="dxa"/>
            <w:shd w:val="clear" w:fill="FFCD00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Investigation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120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62.362204724409" w:type="dxa"/>
            <w:shd w:val="clear" w:fill="7AAEEA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Discussion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160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62.362204724409" w:type="dxa"/>
            <w:shd w:val="clear" w:fill="F8807F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Practice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250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24</w:t>
            </w:r>
          </w:p>
        </w:tc>
      </w:tr>
      <w:tr>
        <w:trPr/>
        <w:tc>
          <w:tcPr>
            <w:tcW w:w="62.362204724409" w:type="dxa"/>
            <w:shd w:val="clear" w:fill="BB98DC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Collaboration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120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62.362204724409" w:type="dxa"/>
            <w:shd w:val="clear" w:fill="BDEA75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Production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130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12</w:t>
            </w:r>
          </w:p>
        </w:tc>
      </w:tr>
    </w:tbl>
    <w:p/>
    <w:p>
      <w:r>
        <w:br w:type="page"/>
      </w:r>
    </w:p>
    <w:p>
      <w:r>
        <w:drawing>
          <wp:inline>
            <wp:extent cx="4629600" cy="162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Grid>
        <w:gridCol w:w="62.362204724409" w:type="dxa"/>
        <w:gridCol w:w="3401.5748031496" w:type="dxa"/>
        <w:gridCol w:w="1133.8582677165" w:type="dxa"/>
        <w:gridCol w:w="566.92913385827" w:type="dxa"/>
      </w:tblGrid>
      <w:tblPr>
        <w:tblStyle w:val="AnalysisTable"/>
      </w:tblPr>
      <w:tr>
        <w:trPr/>
        <w:tc>
          <w:tcPr>
            <w:tcW w:w="3463.937007874" w:type="dxa"/>
            <w:vAlign w:val="center"/>
            <w:gridSpan w:val="2"/>
          </w:tcPr>
          <w:p>
            <w:pPr/>
            <w:r>
              <w:rPr>
                <w:b/>
                <w:bCs/>
              </w:rPr>
              <w:t xml:space="preserve"/>
            </w:r>
          </w:p>
        </w:tc>
        <w:tc>
          <w:tcPr>
            <w:tcW w:w="1133.8582677165" w:type="dxa"/>
            <w:vAlign w:val="center"/>
          </w:tcPr>
          <w:p>
            <w:pPr/>
            <w:r>
              <w:rPr>
                <w:b/>
                <w:bCs/>
              </w:rPr>
              <w:t xml:space="preserve">Minutes</w:t>
            </w:r>
          </w:p>
        </w:tc>
        <w:tc>
          <w:tcPr>
            <w:tcW w:w="566.92913385827" w:type="dxa"/>
          </w:tcPr>
          <w:p>
            <w:pPr/>
            <w:r>
              <w:rPr>
                <w:b/>
                <w:bCs/>
              </w:rPr>
              <w:t xml:space="preserve">%</w:t>
            </w:r>
          </w:p>
        </w:tc>
      </w:tr>
      <w:tr>
        <w:trPr/>
        <w:tc>
          <w:tcPr>
            <w:tcW w:w="62.362204724409" w:type="dxa"/>
            <w:shd w:val="clear" w:fill="477453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Whole class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40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62.362204724409" w:type="dxa"/>
            <w:shd w:val="clear" w:fill="6BAD7D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Group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250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24</w:t>
            </w:r>
          </w:p>
        </w:tc>
      </w:tr>
      <w:tr>
        <w:trPr/>
        <w:tc>
          <w:tcPr>
            <w:tcW w:w="62.362204724409" w:type="dxa"/>
            <w:shd w:val="clear" w:fill="B6D7BF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Individual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760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72</w:t>
            </w:r>
          </w:p>
        </w:tc>
      </w:tr>
    </w:tbl>
    <w:p/>
    <w:p>
      <w:pPr/>
    </w:p>
    <w:p>
      <w:r>
        <w:drawing>
          <wp:inline>
            <wp:extent cx="2203200" cy="23148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Grid>
        <w:gridCol w:w="62.362204724409" w:type="dxa"/>
        <w:gridCol w:w="3401.5748031496" w:type="dxa"/>
        <w:gridCol w:w="1133.8582677165" w:type="dxa"/>
        <w:gridCol w:w="566.92913385827" w:type="dxa"/>
      </w:tblGrid>
      <w:tblPr>
        <w:tblStyle w:val="AnalysisTable"/>
      </w:tblPr>
      <w:tr>
        <w:trPr/>
        <w:tc>
          <w:tcPr>
            <w:tcW w:w="3463.937007874" w:type="dxa"/>
            <w:vAlign w:val="center"/>
            <w:gridSpan w:val="2"/>
          </w:tcPr>
          <w:p>
            <w:pPr/>
            <w:r>
              <w:rPr>
                <w:b/>
                <w:bCs/>
              </w:rPr>
              <w:t xml:space="preserve"/>
            </w:r>
          </w:p>
        </w:tc>
        <w:tc>
          <w:tcPr>
            <w:tcW w:w="1133.8582677165" w:type="dxa"/>
            <w:vAlign w:val="center"/>
          </w:tcPr>
          <w:p>
            <w:pPr/>
            <w:r>
              <w:rPr>
                <w:b/>
                <w:bCs/>
              </w:rPr>
              <w:t xml:space="preserve">Minutes</w:t>
            </w:r>
          </w:p>
        </w:tc>
        <w:tc>
          <w:tcPr>
            <w:tcW w:w="566.92913385827" w:type="dxa"/>
          </w:tcPr>
          <w:p>
            <w:pPr/>
            <w:r>
              <w:rPr>
                <w:b/>
                <w:bCs/>
              </w:rPr>
              <w:t xml:space="preserve">%</w:t>
            </w:r>
          </w:p>
        </w:tc>
      </w:tr>
      <w:tr>
        <w:trPr/>
        <w:tc>
          <w:tcPr>
            <w:tcW w:w="62.362204724409" w:type="dxa"/>
            <w:shd w:val="clear" w:fill="2B5B80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Face to face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60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62.362204724409" w:type="dxa"/>
            <w:shd w:val="clear" w:fill="BECBDB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Online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990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94</w:t>
            </w:r>
          </w:p>
        </w:tc>
      </w:tr>
    </w:tbl>
    <w:p>
      <w:r>
        <w:drawing>
          <wp:inline>
            <wp:extent cx="2203200" cy="23148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Grid>
        <w:gridCol w:w="62.362204724409" w:type="dxa"/>
        <w:gridCol w:w="3401.5748031496" w:type="dxa"/>
        <w:gridCol w:w="1133.8582677165" w:type="dxa"/>
        <w:gridCol w:w="566.92913385827" w:type="dxa"/>
      </w:tblGrid>
      <w:tblPr>
        <w:tblStyle w:val="AnalysisTable"/>
      </w:tblPr>
      <w:tr>
        <w:trPr/>
        <w:tc>
          <w:tcPr>
            <w:tcW w:w="3463.937007874" w:type="dxa"/>
            <w:vAlign w:val="center"/>
            <w:gridSpan w:val="2"/>
          </w:tcPr>
          <w:p>
            <w:pPr/>
            <w:r>
              <w:rPr>
                <w:b/>
                <w:bCs/>
              </w:rPr>
              <w:t xml:space="preserve"/>
            </w:r>
          </w:p>
        </w:tc>
        <w:tc>
          <w:tcPr>
            <w:tcW w:w="1133.8582677165" w:type="dxa"/>
            <w:vAlign w:val="center"/>
          </w:tcPr>
          <w:p>
            <w:pPr/>
            <w:r>
              <w:rPr>
                <w:b/>
                <w:bCs/>
              </w:rPr>
              <w:t xml:space="preserve">Minutes</w:t>
            </w:r>
          </w:p>
        </w:tc>
        <w:tc>
          <w:tcPr>
            <w:tcW w:w="566.92913385827" w:type="dxa"/>
          </w:tcPr>
          <w:p>
            <w:pPr/>
            <w:r>
              <w:rPr>
                <w:b/>
                <w:bCs/>
              </w:rPr>
              <w:t xml:space="preserve">%</w:t>
            </w:r>
          </w:p>
        </w:tc>
      </w:tr>
      <w:tr>
        <w:trPr/>
        <w:tc>
          <w:tcPr>
            <w:tcW w:w="62.362204724409" w:type="dxa"/>
            <w:shd w:val="clear" w:fill="73604C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Teacher present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240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23</w:t>
            </w:r>
          </w:p>
        </w:tc>
      </w:tr>
      <w:tr>
        <w:trPr/>
        <w:tc>
          <w:tcPr>
            <w:tcW w:w="62.362204724409" w:type="dxa"/>
            <w:shd w:val="clear" w:fill="D3C0AC"/>
          </w:tcPr>
          <w:p/>
        </w:tc>
        <w:tc>
          <w:tcPr>
            <w:tcW w:w="3401.5748031496" w:type="dxa"/>
          </w:tcPr>
          <w:p>
            <w:pPr/>
            <w:r>
              <w:rPr/>
              <w:t xml:space="preserve">Teacher not present</w:t>
            </w:r>
          </w:p>
        </w:tc>
        <w:tc>
          <w:tcPr>
            <w:tcW w:w="1133.8582677165" w:type="dxa"/>
          </w:tcPr>
          <w:p>
            <w:pPr/>
            <w:r>
              <w:rPr/>
              <w:t xml:space="preserve">810</w:t>
            </w:r>
          </w:p>
        </w:tc>
        <w:tc>
          <w:tcPr>
            <w:tcW w:w="566.92913385827" w:type="dxa"/>
          </w:tcPr>
          <w:p>
            <w:pPr/>
            <w:r>
              <w:rPr/>
              <w:t xml:space="preserve">77</w:t>
            </w:r>
          </w:p>
        </w:tc>
      </w:tr>
    </w:tbl>
    <w:sectPr>
      <w:pgSz w:orient="portrait" w:w="11905.511811024" w:h="16837.795275591"/>
      <w:pgMar w:top="1133.8582677165" w:right="1303.937007874" w:bottom="1133.8582677165" w:left="1303.93700787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  <w:pPr>
      <w:jc w:val="left"/>
      <w:spacing w:before="0" w:after="12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  <w:spacing w:before="0" w:after="400"/>
    </w:pPr>
    <w:rPr>
      <w:rFonts w:ascii="Calibri" w:hAnsi="Calibri" w:eastAsia="Calibri" w:cs="Calibri"/>
      <w:sz w:val="28"/>
      <w:szCs w:val="28"/>
      <w:b/>
      <w:bCs/>
    </w:rPr>
  </w:style>
  <w:style w:type="paragraph" w:styleId="Heading2">
    <w:link w:val="Heading2Char"/>
    <w:name w:val="heading 2"/>
    <w:basedOn w:val="Normal"/>
    <w:pPr>
      <w:jc w:val="left"/>
      <w:spacing w:before="102.04724409449" w:after="51.023622047244"/>
    </w:pPr>
    <w:rPr>
      <w:rFonts w:ascii="Calibri" w:hAnsi="Calibri" w:eastAsia="Calibri" w:cs="Calibri"/>
      <w:sz w:val="28"/>
      <w:szCs w:val="28"/>
      <w:b/>
      <w:bCs/>
    </w:rPr>
  </w:style>
  <w:style w:type="paragraph" w:styleId="Heading3">
    <w:link w:val="Heading3Char"/>
    <w:name w:val="heading 3"/>
    <w:basedOn w:val="Normal"/>
    <w:pPr>
      <w:jc w:val="left"/>
      <w:spacing w:before="102.04724409449" w:after="51.023622047244"/>
    </w:pPr>
    <w:rPr>
      <w:sz w:val="24"/>
      <w:szCs w:val="24"/>
      <w:b/>
      <w:bCs/>
      <w:i/>
      <w:iCs/>
    </w:rPr>
  </w:style>
  <w:style w:type="paragraph" w:styleId="Heading4">
    <w:link w:val="Heading4Char"/>
    <w:name w:val="heading 4"/>
    <w:basedOn w:val="Normal"/>
    <w:pPr>
      <w:jc w:val="left"/>
      <w:spacing w:before="102.04724409449" w:after="51.023622047244"/>
    </w:pPr>
    <w:rPr>
      <w:sz w:val="24"/>
      <w:szCs w:val="24"/>
      <w:i/>
      <w:iCs/>
    </w:rPr>
  </w:style>
  <w:style w:type="character">
    <w:name w:val="fMultipleTab"/>
    <w:rPr>
      <w:i/>
      <w:iCs/>
    </w:rPr>
  </w:style>
  <w:style w:type="paragraph" w:customStyle="1" w:styleId="multipleTab">
    <w:name w:val="multipleTab"/>
    <w:basedOn w:val="Normal"/>
    <w:pPr>
      <w:tabs>
        <w:tab w:val="left" w:leader="none" w:pos="2267.7165354331"/>
        <w:tab w:val="left" w:leader="none" w:pos="3685.0393700787"/>
        <w:tab w:val="left" w:leader="none" w:pos="5102.3622047244"/>
      </w:tabs>
    </w:pPr>
  </w:style>
  <w:style w:type="paragraph" w:customStyle="1" w:styleId="pNormalIndent">
    <w:name w:val="pNormalIndent"/>
    <w:basedOn w:val="Normal"/>
    <w:pPr>
      <w:jc w:val="left"/>
    </w:pPr>
  </w:style>
  <w:style w:type="character">
    <w:name w:val="fNormalIndent"/>
    <w:rPr>
      <w:sz w:val="24"/>
      <w:szCs w:val="24"/>
    </w:rPr>
  </w:style>
  <w:style w:type="paragraph" w:customStyle="1" w:styleId="indented">
    <w:name w:val="indented"/>
    <w:basedOn w:val="Normal"/>
    <w:pPr/>
  </w:style>
  <w:style w:type="table" w:customStyle="1" w:styleId="AnalysisTable">
    <w:name w:val="Analysis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ededed"/>
        <w:left w:val="single" w:sz="6" w:color="ededed"/>
        <w:right w:val="single" w:sz="6" w:color="ededed"/>
        <w:bottom w:val="single" w:sz="6" w:color="ededed"/>
        <w:insideH w:val="single" w:sz="6" w:color="ededed"/>
        <w:insideV w:val="single" w:sz="6" w:color="ededed"/>
      </w:tblBorders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6"/>
              <c:pt idx="0">
                <c:v>Acquisition</c:v>
              </c:pt>
              <c:pt idx="1">
                <c:v>Collaboration</c:v>
              </c:pt>
              <c:pt idx="2">
                <c:v>Discussion</c:v>
              </c:pt>
              <c:pt idx="3">
                <c:v>Inquiry</c:v>
              </c:pt>
              <c:pt idx="4">
                <c:v>Practice</c:v>
              </c:pt>
              <c:pt idx="5">
                <c:v>Production</c:v>
              </c:pt>
            </c:strLit>
          </c:cat>
          <c:val>
            <c:numLit>
              <c:ptCount val="6"/>
              <c:pt idx="0">
                <c:v>270</c:v>
              </c:pt>
              <c:pt idx="1">
                <c:v>120</c:v>
              </c:pt>
              <c:pt idx="2">
                <c:v>160</c:v>
              </c:pt>
              <c:pt idx="3">
                <c:v>120</c:v>
              </c:pt>
              <c:pt idx="4">
                <c:v>250</c:v>
              </c:pt>
              <c:pt idx="5">
                <c:v>130</c:v>
              </c:pt>
            </c:numLit>
          </c:val>
          <c:dPt>
            <c:idx val="0"/>
            <c:spPr>
              <a:solidFill>
                <a:srgbClr val="67DBF2"/>
              </a:solidFill>
            </c:spPr>
          </c:dPt>
          <c:dPt>
            <c:idx val="1"/>
            <c:spPr>
              <a:solidFill>
                <a:srgbClr val="FFCD00"/>
              </a:solidFill>
            </c:spPr>
          </c:dPt>
          <c:dPt>
            <c:idx val="2"/>
            <c:spPr>
              <a:solidFill>
                <a:srgbClr val="7AAEEA"/>
              </a:solidFill>
            </c:spPr>
          </c:dPt>
          <c:dPt>
            <c:idx val="3"/>
            <c:spPr>
              <a:solidFill>
                <a:srgbClr val="F8807F"/>
              </a:solidFill>
            </c:spPr>
          </c:dPt>
          <c:dPt>
            <c:idx val="4"/>
            <c:spPr>
              <a:solidFill>
                <a:srgbClr val="BB98DC"/>
              </a:solidFill>
            </c:spPr>
          </c:dPt>
          <c:dPt>
            <c:idx val="5"/>
            <c:spPr>
              <a:solidFill>
                <a:srgbClr val="BDEA75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percentStack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Whole class</c:v>
              </c:pt>
              <c:pt idx="1">
                <c:v>Group</c:v>
              </c:pt>
              <c:pt idx="2">
                <c:v>Individual</c:v>
              </c:pt>
            </c:strLit>
          </c:cat>
          <c:val>
            <c:numLit>
              <c:ptCount val="1"/>
              <c:pt idx="0">
                <c:v>40</c:v>
              </c:pt>
            </c:numLit>
          </c:val>
          <c:dPt>
            <c:idx val="0"/>
            <c:spPr>
              <a:solidFill>
                <a:srgbClr val="477453"/>
              </a:solidFill>
            </c:spPr>
          </c:dPt>
          <c:dPt>
            <c:idx val="1"/>
            <c:spPr>
              <a:solidFill>
                <a:srgbClr val="6BAD7D"/>
              </a:solidFill>
            </c:spPr>
          </c:dPt>
          <c:dPt>
            <c:idx val="2"/>
            <c:spPr>
              <a:solidFill>
                <a:srgbClr val="B6D7BF"/>
              </a:solidFill>
            </c:spPr>
          </c:dPt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Group</c:v>
              </c:pt>
            </c:strLit>
          </c:cat>
          <c:val>
            <c:numLit>
              <c:ptCount val="1"/>
              <c:pt idx="0">
                <c:v>250</c:v>
              </c:pt>
            </c:numLit>
          </c:val>
          <c:dPt>
            <c:idx val="0"/>
            <c:spPr>
              <a:solidFill>
                <a:srgbClr val="6BAD7D"/>
              </a:solidFill>
            </c:spPr>
          </c:dPt>
          <c:dPt>
            <c:idx val="1"/>
            <c:spPr>
              <a:solidFill>
                <a:srgbClr val="B6D7BF"/>
              </a:solidFill>
            </c:spPr>
          </c:dPt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Dis</c:v>
              </c:pt>
            </c:strLit>
          </c:cat>
          <c:val>
            <c:numLit>
              <c:ptCount val="1"/>
              <c:pt idx="0">
                <c:v>760</c:v>
              </c:pt>
            </c:numLit>
          </c:val>
          <c:dPt>
            <c:idx val="0"/>
            <c:spPr>
              <a:solidFill>
                <a:srgbClr val="B6D7BF"/>
              </a:solidFill>
            </c:spPr>
          </c:dPt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no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no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Face to face</c:v>
              </c:pt>
              <c:pt idx="1">
                <c:v>Online</c:v>
              </c:pt>
            </c:strLit>
          </c:cat>
          <c:val>
            <c:numLit>
              <c:ptCount val="2"/>
              <c:pt idx="0">
                <c:v>60</c:v>
              </c:pt>
              <c:pt idx="1">
                <c:v>990</c:v>
              </c:pt>
            </c:numLit>
          </c:val>
          <c:dPt>
            <c:idx val="0"/>
            <c:spPr>
              <a:solidFill>
                <a:srgbClr val="2B5B80"/>
              </a:solidFill>
            </c:spPr>
          </c:dPt>
          <c:dPt>
            <c:idx val="1"/>
            <c:spPr>
              <a:solidFill>
                <a:srgbClr val="BECBDB"/>
              </a:solidFill>
            </c:spPr>
          </c:dPt>
        </c:ser>
        <c:overlap val="100"/>
      </c:pieChart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Teacher present</c:v>
              </c:pt>
              <c:pt idx="1">
                <c:v>Teacher not present</c:v>
              </c:pt>
            </c:strLit>
          </c:cat>
          <c:val>
            <c:numLit>
              <c:ptCount val="2"/>
              <c:pt idx="0">
                <c:v>240</c:v>
              </c:pt>
              <c:pt idx="1">
                <c:v>810</c:v>
              </c:pt>
            </c:numLit>
          </c:val>
          <c:dPt>
            <c:idx val="0"/>
            <c:spPr>
              <a:solidFill>
                <a:srgbClr val="73604C"/>
              </a:solidFill>
            </c:spPr>
          </c:dPt>
          <c:dPt>
            <c:idx val="1"/>
            <c:spPr>
              <a:solidFill>
                <a:srgbClr val="D3C0AC"/>
              </a:solidFill>
            </c:spPr>
          </c:dPt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Designer 2019</dc:creator>
  <dc:title/>
  <dc:description/>
  <dc:subject/>
  <cp:keywords/>
  <cp:category/>
  <cp:lastModifiedBy/>
  <dcterms:created xsi:type="dcterms:W3CDTF">2020-07-22T15:02:31+01:00</dcterms:created>
  <dcterms:modified xsi:type="dcterms:W3CDTF">2020-07-22T15:02:31+01:00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