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Modelo 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901D4" w:rsidRPr="00EE34AA" w:rsidRDefault="00F901D4" w:rsidP="00D37D4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9279F2" w:rsidRPr="009279F2" w:rsidRDefault="009279F2" w:rsidP="00D37D4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DC370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DC3707" w:rsidRPr="00EE34AA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9279F2" w:rsidRPr="00EE34AA" w:rsidRDefault="000C1A94" w:rsidP="000C1A94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Entidad </w:t>
            </w:r>
            <w:r w:rsidR="00F7241C" w:rsidRPr="00EE34AA">
              <w:rPr>
                <w:rFonts w:asciiTheme="minorHAnsi" w:hAnsiTheme="minorHAnsi"/>
                <w:sz w:val="24"/>
                <w:szCs w:val="24"/>
              </w:rPr>
              <w:t>débil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:rsidR="00D37D44" w:rsidRDefault="00D37D44" w:rsidP="00872D9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72D94" w:rsidRPr="00EE34AA" w:rsidRDefault="00872D94" w:rsidP="00F7241C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DC370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0C1A94" w:rsidRDefault="000C1A94" w:rsidP="000C1A9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9279F2" w:rsidRPr="00BB5272" w:rsidRDefault="009279F2" w:rsidP="000C1A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7241C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D37D44" w:rsidRDefault="00D37D44" w:rsidP="00D37D44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DC3707" w:rsidRPr="000C1A94" w:rsidRDefault="00DC370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655454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>Cuáles relaciones tiene atributos propios?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</w:p>
    <w:p w:rsidR="008D09AC" w:rsidRDefault="00530A09" w:rsidP="00530A09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CC78A21" wp14:editId="4B0496CC">
            <wp:extent cx="3967941" cy="344584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59" cy="34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1F1AA2" w:rsidRDefault="00644ADA" w:rsidP="00E43DAD">
      <w:pPr>
        <w:jc w:val="both"/>
        <w:rPr>
          <w:rFonts w:asciiTheme="minorHAnsi" w:hAnsiTheme="minorHAnsi"/>
          <w:sz w:val="24"/>
          <w:szCs w:val="24"/>
        </w:rPr>
      </w:pPr>
      <w:r w:rsidRPr="00644ADA">
        <w:rPr>
          <w:rFonts w:asciiTheme="minorHAnsi" w:hAnsiTheme="minorHAnsi"/>
          <w:sz w:val="24"/>
          <w:szCs w:val="24"/>
        </w:rPr>
        <w:t xml:space="preserve">“El Mejor Traje” es una empresa Servicios de Alquiler de Trajes de Lujo, que le solicita el diseño de </w:t>
      </w:r>
      <w:r w:rsidR="00E43DAD" w:rsidRPr="00644ADA">
        <w:rPr>
          <w:rFonts w:asciiTheme="minorHAnsi" w:hAnsiTheme="minorHAnsi"/>
          <w:sz w:val="24"/>
          <w:szCs w:val="24"/>
        </w:rPr>
        <w:t>su Modelo</w:t>
      </w:r>
      <w:r w:rsidRPr="00644ADA">
        <w:rPr>
          <w:rFonts w:asciiTheme="minorHAnsi" w:hAnsiTheme="minorHAnsi"/>
          <w:sz w:val="24"/>
          <w:szCs w:val="24"/>
        </w:rPr>
        <w:t xml:space="preserve"> de Datos. La empresa tiene varias sedes en todo el país, de las cuales se debe registrar su número de sede, dirección. El alquiler de trajes es la actividad principal de la </w:t>
      </w:r>
      <w:r w:rsidR="00E43DAD" w:rsidRPr="00644ADA">
        <w:rPr>
          <w:rFonts w:asciiTheme="minorHAnsi" w:hAnsiTheme="minorHAnsi"/>
          <w:sz w:val="24"/>
          <w:szCs w:val="24"/>
        </w:rPr>
        <w:t>empresa y</w:t>
      </w:r>
      <w:r w:rsidRPr="00644ADA">
        <w:rPr>
          <w:rFonts w:asciiTheme="minorHAnsi" w:hAnsiTheme="minorHAnsi"/>
          <w:sz w:val="24"/>
          <w:szCs w:val="24"/>
        </w:rPr>
        <w:t xml:space="preserve"> para poder llevarla a cabo, es necesario conocer la información de sus proveedores, tales como: Nombre, Dirección, Fax y Contacto. Entre los proveedores más importantes se tienen “El Telar” y “Punto de Fábrica”. De los trajes se debe registrar información como: su Código, Material en el que está hecho, Talla, Color, proveedor y el precio por alquiler etc. A través del Personal de Atención, los clientes hacen los alquileres de los trajes en una sede dada. La empresa además cuenta con Personal de Mantenimiento que preparan y hacen los arreglos a los trajes antes de cada alquiler. De todo </w:t>
      </w:r>
      <w:r w:rsidR="00E43DAD" w:rsidRPr="00644ADA">
        <w:rPr>
          <w:rFonts w:asciiTheme="minorHAnsi" w:hAnsiTheme="minorHAnsi"/>
          <w:sz w:val="24"/>
          <w:szCs w:val="24"/>
        </w:rPr>
        <w:t>el Personal</w:t>
      </w:r>
      <w:r w:rsidRPr="00644ADA">
        <w:rPr>
          <w:rFonts w:asciiTheme="minorHAnsi" w:hAnsiTheme="minorHAnsi"/>
          <w:sz w:val="24"/>
          <w:szCs w:val="24"/>
        </w:rPr>
        <w:t xml:space="preserve"> se debe registrar su Nombre, Cédula, edad, Sueldo y Fecha de Contratación en la Sede. Del Personal de Mantenimiento, se debe también </w:t>
      </w:r>
      <w:r w:rsidR="00E43DAD" w:rsidRPr="00644ADA">
        <w:rPr>
          <w:rFonts w:asciiTheme="minorHAnsi" w:hAnsiTheme="minorHAnsi"/>
          <w:sz w:val="24"/>
          <w:szCs w:val="24"/>
        </w:rPr>
        <w:t>registrar los</w:t>
      </w:r>
      <w:r w:rsidRPr="00644ADA">
        <w:rPr>
          <w:rFonts w:asciiTheme="minorHAnsi" w:hAnsiTheme="minorHAnsi"/>
          <w:sz w:val="24"/>
          <w:szCs w:val="24"/>
        </w:rPr>
        <w:t xml:space="preserve"> tipos (código y descripción) de costura que maneja en general. </w:t>
      </w:r>
      <w:r w:rsidR="00BE2596">
        <w:rPr>
          <w:rFonts w:asciiTheme="minorHAnsi" w:hAnsiTheme="minorHAnsi"/>
          <w:sz w:val="24"/>
          <w:szCs w:val="24"/>
        </w:rPr>
        <w:t xml:space="preserve"> De los trajes existen 2 </w:t>
      </w:r>
      <w:r w:rsidR="00F22699">
        <w:rPr>
          <w:rFonts w:asciiTheme="minorHAnsi" w:hAnsiTheme="minorHAnsi"/>
          <w:sz w:val="24"/>
          <w:szCs w:val="24"/>
        </w:rPr>
        <w:t>clases</w:t>
      </w:r>
      <w:bookmarkStart w:id="0" w:name="_GoBack"/>
      <w:bookmarkEnd w:id="0"/>
      <w:r w:rsidR="00BE2596">
        <w:rPr>
          <w:rFonts w:asciiTheme="minorHAnsi" w:hAnsiTheme="minorHAnsi"/>
          <w:sz w:val="24"/>
          <w:szCs w:val="24"/>
        </w:rPr>
        <w:t>: casual y elegante, estos tipos tiene como características generales, el identificador, el nombre y el precio del arreglo. Los trajes casuales contienen características como: cantidad de botones y lentejuelas. De los trajes elegantes: cantidad de bordados y costuras.</w:t>
      </w:r>
    </w:p>
    <w:p w:rsidR="00530A09" w:rsidRDefault="00644ADA" w:rsidP="00E43DAD">
      <w:pPr>
        <w:jc w:val="both"/>
        <w:rPr>
          <w:rFonts w:asciiTheme="minorHAnsi" w:hAnsiTheme="minorHAnsi"/>
          <w:sz w:val="24"/>
          <w:szCs w:val="24"/>
        </w:rPr>
      </w:pPr>
      <w:r w:rsidRPr="00644ADA">
        <w:rPr>
          <w:rFonts w:asciiTheme="minorHAnsi" w:hAnsiTheme="minorHAnsi"/>
          <w:sz w:val="24"/>
          <w:szCs w:val="24"/>
        </w:rPr>
        <w:t xml:space="preserve">De los clientes se necesita su Código, Nombre, Dirección, Teléfono y E-mail. Cuando se realiza </w:t>
      </w:r>
      <w:r w:rsidR="00E43DAD" w:rsidRPr="00644ADA">
        <w:rPr>
          <w:rFonts w:asciiTheme="minorHAnsi" w:hAnsiTheme="minorHAnsi"/>
          <w:sz w:val="24"/>
          <w:szCs w:val="24"/>
        </w:rPr>
        <w:t>un alquiler</w:t>
      </w:r>
      <w:r w:rsidRPr="00644ADA">
        <w:rPr>
          <w:rFonts w:asciiTheme="minorHAnsi" w:hAnsiTheme="minorHAnsi"/>
          <w:sz w:val="24"/>
          <w:szCs w:val="24"/>
        </w:rPr>
        <w:t xml:space="preserve"> se registra la fecha de alquiler, el cliente, la fecha de devolución, los trajes alquilados (un cliente puede alquilar uno o más trajes), el monto de alquiler por traje, un número de alquiler)</w:t>
      </w:r>
      <w:r w:rsidR="00E43DAD">
        <w:rPr>
          <w:rFonts w:asciiTheme="minorHAnsi" w:hAnsiTheme="minorHAnsi"/>
          <w:sz w:val="24"/>
          <w:szCs w:val="24"/>
        </w:rPr>
        <w:t xml:space="preserve">. </w:t>
      </w:r>
    </w:p>
    <w:p w:rsidR="00E43DAD" w:rsidRDefault="00E43DAD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lastRenderedPageBreak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37" w:rsidRDefault="005D5A37" w:rsidP="00955E37">
      <w:r>
        <w:separator/>
      </w:r>
    </w:p>
  </w:endnote>
  <w:endnote w:type="continuationSeparator" w:id="0">
    <w:p w:rsidR="005D5A37" w:rsidRDefault="005D5A37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37" w:rsidRDefault="005D5A37" w:rsidP="00955E37">
      <w:r>
        <w:separator/>
      </w:r>
    </w:p>
  </w:footnote>
  <w:footnote w:type="continuationSeparator" w:id="0">
    <w:p w:rsidR="005D5A37" w:rsidRDefault="005D5A37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C1A94"/>
    <w:rsid w:val="000D4B28"/>
    <w:rsid w:val="00166405"/>
    <w:rsid w:val="00191E3C"/>
    <w:rsid w:val="001F1AA2"/>
    <w:rsid w:val="00295BA5"/>
    <w:rsid w:val="0032142A"/>
    <w:rsid w:val="00530A09"/>
    <w:rsid w:val="005D5A37"/>
    <w:rsid w:val="005E4F5F"/>
    <w:rsid w:val="00644ADA"/>
    <w:rsid w:val="00655454"/>
    <w:rsid w:val="00686154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B9610C"/>
    <w:rsid w:val="00BB5272"/>
    <w:rsid w:val="00BE2596"/>
    <w:rsid w:val="00CD5668"/>
    <w:rsid w:val="00CE776C"/>
    <w:rsid w:val="00D17CE2"/>
    <w:rsid w:val="00D37D44"/>
    <w:rsid w:val="00DA7AA2"/>
    <w:rsid w:val="00DC3707"/>
    <w:rsid w:val="00E43DAD"/>
    <w:rsid w:val="00EE34AA"/>
    <w:rsid w:val="00F22699"/>
    <w:rsid w:val="00F4270A"/>
    <w:rsid w:val="00F45CDB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2D54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529C-E20F-4CE3-BA04-FEBC9445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3</cp:revision>
  <dcterms:created xsi:type="dcterms:W3CDTF">2019-02-27T17:24:00Z</dcterms:created>
  <dcterms:modified xsi:type="dcterms:W3CDTF">2019-03-05T00:07:00Z</dcterms:modified>
</cp:coreProperties>
</file>