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FD8B" w14:textId="6F034AA9" w:rsidR="00DF0D32" w:rsidRPr="00DF0D32" w:rsidRDefault="00F92232" w:rsidP="00DF0D32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Toxicology</w:t>
      </w:r>
      <w:r w:rsidR="00DF0D32" w:rsidRPr="00DF0D32">
        <w:rPr>
          <w:rFonts w:ascii="Arial" w:hAnsi="Arial" w:cs="Arial"/>
          <w:b/>
          <w:bCs/>
        </w:rPr>
        <w:t xml:space="preserve"> Overview</w:t>
      </w:r>
    </w:p>
    <w:p w14:paraId="5AFE2ABE" w14:textId="63BA9A41" w:rsidR="00F92232" w:rsidRPr="001D2F14" w:rsidRDefault="00F92232" w:rsidP="00DF0D32">
      <w:pPr>
        <w:pStyle w:val="ListParagraph"/>
        <w:numPr>
          <w:ilvl w:val="0"/>
          <w:numId w:val="2"/>
        </w:numPr>
        <w:spacing w:after="120"/>
        <w:ind w:left="720" w:hanging="36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Toxidromes</w:t>
      </w:r>
    </w:p>
    <w:p w14:paraId="08BCAAA6" w14:textId="3F3C53F7" w:rsidR="00F92232" w:rsidRPr="001D2F14" w:rsidRDefault="007D36E9" w:rsidP="00F92232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Dry skin and mouth, hyperthermic, mydriasis, agitation, urinary retention, tachycardia, hypertension</w:t>
      </w:r>
    </w:p>
    <w:p w14:paraId="086DF3F0" w14:textId="4CB6D657" w:rsidR="007D36E9" w:rsidRPr="001D2F14" w:rsidRDefault="007D36E9" w:rsidP="007D36E9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= Anticholinergic </w:t>
      </w:r>
      <w:r w:rsidR="000E3181" w:rsidRPr="001D2F14">
        <w:rPr>
          <w:rFonts w:ascii="Arial" w:hAnsi="Arial" w:cs="Arial"/>
          <w:sz w:val="22"/>
          <w:szCs w:val="22"/>
        </w:rPr>
        <w:t>toxi</w:t>
      </w:r>
      <w:r w:rsidRPr="001D2F14">
        <w:rPr>
          <w:rFonts w:ascii="Arial" w:hAnsi="Arial" w:cs="Arial"/>
          <w:sz w:val="22"/>
          <w:szCs w:val="22"/>
        </w:rPr>
        <w:t>drome</w:t>
      </w:r>
    </w:p>
    <w:p w14:paraId="7A7D21FB" w14:textId="1A27067C" w:rsidR="007D36E9" w:rsidRPr="001D2F14" w:rsidRDefault="007D36E9" w:rsidP="007D36E9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Inciting exposures relevant to pediatrics:</w:t>
      </w:r>
    </w:p>
    <w:p w14:paraId="66308CED" w14:textId="0DB16BFF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Diphenhydramine</w:t>
      </w:r>
    </w:p>
    <w:p w14:paraId="6A88D805" w14:textId="06A33164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Promethazine</w:t>
      </w:r>
    </w:p>
    <w:p w14:paraId="3DAA9010" w14:textId="0D4A35B1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Scopolamine</w:t>
      </w:r>
    </w:p>
    <w:p w14:paraId="04318FD0" w14:textId="394D6397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1D2F14">
        <w:rPr>
          <w:rFonts w:ascii="Arial" w:hAnsi="Arial" w:cs="Arial"/>
          <w:sz w:val="22"/>
          <w:szCs w:val="22"/>
        </w:rPr>
        <w:t>Cyproheptidine</w:t>
      </w:r>
      <w:proofErr w:type="spellEnd"/>
    </w:p>
    <w:p w14:paraId="68F258AB" w14:textId="528AC01C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Quetiapine</w:t>
      </w:r>
    </w:p>
    <w:p w14:paraId="2FF8CE43" w14:textId="61D5BACD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Some mushrooms</w:t>
      </w:r>
    </w:p>
    <w:p w14:paraId="5F6C297B" w14:textId="5EE60265" w:rsidR="007D36E9" w:rsidRPr="001D2F14" w:rsidRDefault="007D36E9" w:rsidP="007D36E9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“Night shade” (belladonna) family of flowering plants.</w:t>
      </w:r>
    </w:p>
    <w:p w14:paraId="38F6B7E1" w14:textId="7515531E" w:rsidR="007D36E9" w:rsidRPr="001D2F14" w:rsidRDefault="000E3181" w:rsidP="007D36E9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Diarrhea, urinary incontinence, miosis, bronchospasm, bradycardia, emesis, salivation</w:t>
      </w:r>
    </w:p>
    <w:p w14:paraId="4E228CD9" w14:textId="1D49A591" w:rsidR="000E3181" w:rsidRPr="001D2F14" w:rsidRDefault="000E3181" w:rsidP="000E3181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= Cholinergic toxidrome</w:t>
      </w:r>
    </w:p>
    <w:p w14:paraId="2D617CF9" w14:textId="1D17EBC4" w:rsidR="000E3181" w:rsidRPr="001D2F14" w:rsidRDefault="000E3181" w:rsidP="000E3181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Inciting exposures relevant to pediatrics:</w:t>
      </w:r>
    </w:p>
    <w:p w14:paraId="5599F888" w14:textId="265CA88E" w:rsidR="000E3181" w:rsidRPr="001D2F14" w:rsidRDefault="000E3181" w:rsidP="000E3181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1D2F14">
        <w:rPr>
          <w:rFonts w:ascii="Arial" w:hAnsi="Arial" w:cs="Arial"/>
          <w:sz w:val="22"/>
          <w:szCs w:val="22"/>
        </w:rPr>
        <w:t>Organosphosphate</w:t>
      </w:r>
      <w:proofErr w:type="spellEnd"/>
      <w:r w:rsidRPr="001D2F14">
        <w:rPr>
          <w:rFonts w:ascii="Arial" w:hAnsi="Arial" w:cs="Arial"/>
          <w:sz w:val="22"/>
          <w:szCs w:val="22"/>
        </w:rPr>
        <w:t xml:space="preserve"> or carbamate containing insecticides</w:t>
      </w:r>
    </w:p>
    <w:p w14:paraId="4BBB1F62" w14:textId="79FA5810" w:rsidR="000E3181" w:rsidRPr="001D2F14" w:rsidRDefault="000E3181" w:rsidP="000E318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Drowsiness (to obtundation), bradypnea/apnea, bradycardia, hypotension</w:t>
      </w:r>
    </w:p>
    <w:p w14:paraId="1411461E" w14:textId="784C4C49" w:rsidR="000E3181" w:rsidRPr="001D2F14" w:rsidRDefault="000E3181" w:rsidP="000E3181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= Opioid toxidrome</w:t>
      </w:r>
      <w:r w:rsidR="001867D5" w:rsidRPr="001D2F14">
        <w:rPr>
          <w:rFonts w:ascii="Arial" w:hAnsi="Arial" w:cs="Arial"/>
          <w:sz w:val="22"/>
          <w:szCs w:val="22"/>
        </w:rPr>
        <w:t xml:space="preserve"> (also can be seen with clonidine ingestion)</w:t>
      </w:r>
    </w:p>
    <w:p w14:paraId="7954503E" w14:textId="2F24F6E5" w:rsidR="000E3181" w:rsidRPr="001D2F14" w:rsidRDefault="000E3181" w:rsidP="000E3181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Inciting exposures relevant to pediatrics:</w:t>
      </w:r>
    </w:p>
    <w:p w14:paraId="38208609" w14:textId="355F5FAC" w:rsidR="000E3181" w:rsidRPr="001D2F14" w:rsidRDefault="000E3181" w:rsidP="000E3181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Opiate containing pain medications</w:t>
      </w:r>
    </w:p>
    <w:p w14:paraId="626AC6F4" w14:textId="47C73845" w:rsidR="000E3181" w:rsidRPr="001D2F14" w:rsidRDefault="000E3181" w:rsidP="000E318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Agitation, tremor, </w:t>
      </w:r>
      <w:r w:rsidR="00E61CB4" w:rsidRPr="001D2F14">
        <w:rPr>
          <w:rFonts w:ascii="Arial" w:hAnsi="Arial" w:cs="Arial"/>
          <w:sz w:val="22"/>
          <w:szCs w:val="22"/>
        </w:rPr>
        <w:t>tachycardia, hypertension, mydriasis, sweating</w:t>
      </w:r>
    </w:p>
    <w:p w14:paraId="40C697D1" w14:textId="0AB3176A" w:rsidR="00E61CB4" w:rsidRPr="001D2F14" w:rsidRDefault="00E61CB4" w:rsidP="00E61CB4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= Sympathomimetic toxidrome</w:t>
      </w:r>
    </w:p>
    <w:p w14:paraId="1395F9FA" w14:textId="139EC5AF" w:rsidR="00E61CB4" w:rsidRPr="001D2F14" w:rsidRDefault="00E61CB4" w:rsidP="00E61CB4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Inciting exposures relevant to pediatrics:</w:t>
      </w:r>
    </w:p>
    <w:p w14:paraId="4D127E6D" w14:textId="7B56713B" w:rsidR="00E61CB4" w:rsidRPr="001D2F14" w:rsidRDefault="00E61CB4" w:rsidP="00E61CB4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Pseudoephedrine</w:t>
      </w:r>
    </w:p>
    <w:p w14:paraId="29091A14" w14:textId="1B612303" w:rsidR="00E61CB4" w:rsidRPr="001D2F14" w:rsidRDefault="00E61CB4" w:rsidP="00E61CB4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Cocaine</w:t>
      </w:r>
    </w:p>
    <w:p w14:paraId="7888EA60" w14:textId="3733B65C" w:rsidR="00E61CB4" w:rsidRPr="001D2F14" w:rsidRDefault="00E61CB4" w:rsidP="00E61CB4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Amphetamines</w:t>
      </w:r>
    </w:p>
    <w:p w14:paraId="1C64EA55" w14:textId="77777777" w:rsidR="00E251F0" w:rsidRPr="001D2F14" w:rsidRDefault="00E251F0" w:rsidP="00DF0D32">
      <w:pPr>
        <w:pStyle w:val="ListParagraph"/>
        <w:numPr>
          <w:ilvl w:val="0"/>
          <w:numId w:val="2"/>
        </w:numPr>
        <w:spacing w:after="120"/>
        <w:ind w:left="720" w:hanging="36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Antidotes</w:t>
      </w:r>
    </w:p>
    <w:p w14:paraId="1C9C973B" w14:textId="15EFD0E8" w:rsidR="00E251F0" w:rsidRPr="001D2F14" w:rsidRDefault="00E251F0" w:rsidP="00E251F0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Opiates: Naloxone (for severe respiratory depression, may precipitate withdrawal in the context of chronic use/abuse)</w:t>
      </w:r>
    </w:p>
    <w:p w14:paraId="2C2E0297" w14:textId="6DE1B8F8" w:rsidR="00E251F0" w:rsidRPr="001D2F14" w:rsidRDefault="001867D5" w:rsidP="00E251F0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Clonidine: Atropine (for bradycardia)</w:t>
      </w:r>
    </w:p>
    <w:p w14:paraId="163CD471" w14:textId="77777777" w:rsidR="00BE3029" w:rsidRDefault="00A83B75" w:rsidP="00E251F0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Physostigmine: anticholinergic agents </w:t>
      </w:r>
      <w:r w:rsidRPr="001D2F14">
        <w:rPr>
          <w:rFonts w:ascii="Arial" w:hAnsi="Arial" w:cs="Arial"/>
          <w:b/>
          <w:bCs/>
          <w:sz w:val="22"/>
          <w:szCs w:val="22"/>
        </w:rPr>
        <w:t>other than TCAs</w:t>
      </w:r>
      <w:r w:rsidRPr="001D2F14">
        <w:rPr>
          <w:rFonts w:ascii="Arial" w:hAnsi="Arial" w:cs="Arial"/>
          <w:sz w:val="22"/>
          <w:szCs w:val="22"/>
        </w:rPr>
        <w:t xml:space="preserve">. </w:t>
      </w:r>
    </w:p>
    <w:p w14:paraId="13D22FBF" w14:textId="2476555E" w:rsidR="00BE3029" w:rsidRDefault="00A83B75" w:rsidP="00BE3029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Has a short half</w:t>
      </w:r>
      <w:r w:rsidR="00796961">
        <w:rPr>
          <w:rFonts w:ascii="Arial" w:hAnsi="Arial" w:cs="Arial"/>
          <w:sz w:val="22"/>
          <w:szCs w:val="22"/>
        </w:rPr>
        <w:t>-</w:t>
      </w:r>
      <w:r w:rsidRPr="001D2F14">
        <w:rPr>
          <w:rFonts w:ascii="Arial" w:hAnsi="Arial" w:cs="Arial"/>
          <w:sz w:val="22"/>
          <w:szCs w:val="22"/>
        </w:rPr>
        <w:t xml:space="preserve">life, so usually only used for severe agitation or to confirm </w:t>
      </w:r>
      <w:proofErr w:type="gramStart"/>
      <w:r w:rsidRPr="001D2F14">
        <w:rPr>
          <w:rFonts w:ascii="Arial" w:hAnsi="Arial" w:cs="Arial"/>
          <w:sz w:val="22"/>
          <w:szCs w:val="22"/>
        </w:rPr>
        <w:t>diagnosis.</w:t>
      </w:r>
      <w:proofErr w:type="gramEnd"/>
    </w:p>
    <w:p w14:paraId="20A5D887" w14:textId="017E65A4" w:rsidR="00E251F0" w:rsidRDefault="00A83B75" w:rsidP="00BE3029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Can cause seizures or </w:t>
      </w:r>
      <w:r w:rsidR="0098553E" w:rsidRPr="001D2F14">
        <w:rPr>
          <w:rFonts w:ascii="Arial" w:hAnsi="Arial" w:cs="Arial"/>
          <w:sz w:val="22"/>
          <w:szCs w:val="22"/>
        </w:rPr>
        <w:t>life-threatening</w:t>
      </w:r>
      <w:r w:rsidRPr="001D2F14">
        <w:rPr>
          <w:rFonts w:ascii="Arial" w:hAnsi="Arial" w:cs="Arial"/>
          <w:sz w:val="22"/>
          <w:szCs w:val="22"/>
        </w:rPr>
        <w:t xml:space="preserve"> arrhythmias if given in context of TCA overdose.</w:t>
      </w:r>
    </w:p>
    <w:p w14:paraId="690E0158" w14:textId="7D9DDFBA" w:rsidR="00BE3029" w:rsidRDefault="00BE3029" w:rsidP="00BE3029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Methanol: fomepizole</w:t>
      </w:r>
    </w:p>
    <w:p w14:paraId="2C9CED7D" w14:textId="443ACAC9" w:rsidR="00BE3029" w:rsidRDefault="00BE3029" w:rsidP="00BE3029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Ethylene glycol: </w:t>
      </w:r>
      <w:r w:rsidR="0060511F">
        <w:rPr>
          <w:rFonts w:ascii="Arial" w:hAnsi="Arial" w:cs="Arial"/>
          <w:sz w:val="22"/>
          <w:szCs w:val="22"/>
        </w:rPr>
        <w:t xml:space="preserve">used to be </w:t>
      </w:r>
      <w:r>
        <w:rPr>
          <w:rFonts w:ascii="Arial" w:hAnsi="Arial" w:cs="Arial"/>
          <w:sz w:val="22"/>
          <w:szCs w:val="22"/>
        </w:rPr>
        <w:t>ethanol</w:t>
      </w:r>
      <w:r w:rsidR="0060511F">
        <w:rPr>
          <w:rFonts w:ascii="Arial" w:hAnsi="Arial" w:cs="Arial"/>
          <w:sz w:val="22"/>
          <w:szCs w:val="22"/>
        </w:rPr>
        <w:t xml:space="preserve">, but now </w:t>
      </w:r>
      <w:proofErr w:type="spellStart"/>
      <w:r w:rsidR="0060511F">
        <w:rPr>
          <w:rFonts w:ascii="Arial" w:hAnsi="Arial" w:cs="Arial"/>
          <w:sz w:val="22"/>
          <w:szCs w:val="22"/>
        </w:rPr>
        <w:t>fomepizile</w:t>
      </w:r>
      <w:proofErr w:type="spellEnd"/>
    </w:p>
    <w:p w14:paraId="7462223E" w14:textId="3FD40EB1" w:rsidR="00BE3029" w:rsidRDefault="00BE3029" w:rsidP="00BE3029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Organophosphates: atropine </w:t>
      </w:r>
      <w:r>
        <w:rPr>
          <w:rFonts w:ascii="Arial" w:hAnsi="Arial" w:cs="Arial"/>
          <w:b/>
          <w:bCs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pralidoxime</w:t>
      </w:r>
    </w:p>
    <w:p w14:paraId="45447E28" w14:textId="7234D26D" w:rsidR="00796961" w:rsidRPr="001D2F14" w:rsidRDefault="00796961" w:rsidP="00BE3029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Serotonin: </w:t>
      </w:r>
      <w:proofErr w:type="spellStart"/>
      <w:r>
        <w:rPr>
          <w:rFonts w:ascii="Arial" w:hAnsi="Arial" w:cs="Arial"/>
          <w:sz w:val="22"/>
          <w:szCs w:val="22"/>
        </w:rPr>
        <w:t>cyproheptidine</w:t>
      </w:r>
      <w:proofErr w:type="spellEnd"/>
    </w:p>
    <w:p w14:paraId="0DD10BA3" w14:textId="5963A037" w:rsidR="00DF0D32" w:rsidRPr="001D2F14" w:rsidRDefault="00E61CB4" w:rsidP="00E251F0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Specific</w:t>
      </w:r>
      <w:r w:rsidR="00805737">
        <w:rPr>
          <w:rFonts w:ascii="Arial" w:hAnsi="Arial" w:cs="Arial"/>
          <w:sz w:val="22"/>
          <w:szCs w:val="22"/>
        </w:rPr>
        <w:t xml:space="preserve"> </w:t>
      </w:r>
      <w:r w:rsidRPr="001D2F14">
        <w:rPr>
          <w:rFonts w:ascii="Arial" w:hAnsi="Arial" w:cs="Arial"/>
          <w:sz w:val="22"/>
          <w:szCs w:val="22"/>
        </w:rPr>
        <w:t>ingestions</w:t>
      </w:r>
    </w:p>
    <w:p w14:paraId="6DE4EA0F" w14:textId="03825836" w:rsidR="00DF0D32" w:rsidRPr="001D2F14" w:rsidRDefault="00E61CB4" w:rsidP="00DF0D32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lastRenderedPageBreak/>
        <w:t>Acetaminophen</w:t>
      </w:r>
    </w:p>
    <w:p w14:paraId="0C229319" w14:textId="77777777" w:rsidR="00E61CB4" w:rsidRPr="001D2F14" w:rsidRDefault="00E61CB4" w:rsidP="00E61CB4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Clinical presentation: Nausea vomiting progressing over 24 hours to abdominal pain and laboratory evidence of liver injury and disfunction, then followed (around 48-72 hours) by coagulopathy, liver failure, multi-organ failure, and death.</w:t>
      </w:r>
    </w:p>
    <w:p w14:paraId="2BF9BA3A" w14:textId="10FDCB44" w:rsidR="00E61CB4" w:rsidRPr="001D2F14" w:rsidRDefault="00E61CB4" w:rsidP="00E61CB4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Workup: Acetaminophen level (as well as checking for co-ingestions), PT, INR, liver enzymes. (Note: </w:t>
      </w:r>
      <w:proofErr w:type="spellStart"/>
      <w:r w:rsidRPr="001D2F14">
        <w:rPr>
          <w:rFonts w:ascii="Arial" w:hAnsi="Arial" w:cs="Arial"/>
          <w:sz w:val="22"/>
          <w:szCs w:val="22"/>
        </w:rPr>
        <w:t>Rumack</w:t>
      </w:r>
      <w:proofErr w:type="spellEnd"/>
      <w:r w:rsidRPr="001D2F14">
        <w:rPr>
          <w:rFonts w:ascii="Arial" w:hAnsi="Arial" w:cs="Arial"/>
          <w:sz w:val="22"/>
          <w:szCs w:val="22"/>
        </w:rPr>
        <w:t>-Matthew nomogram begins at 4 hours post-exposure. Earlier acetaminophen levels are not useful).</w:t>
      </w:r>
    </w:p>
    <w:p w14:paraId="5EAB5F14" w14:textId="583B5FBB" w:rsidR="00E61CB4" w:rsidRPr="001D2F14" w:rsidRDefault="00E61CB4" w:rsidP="00E61CB4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1D2F14">
        <w:rPr>
          <w:rFonts w:ascii="Arial" w:hAnsi="Arial" w:cs="Arial"/>
          <w:sz w:val="22"/>
          <w:szCs w:val="22"/>
        </w:rPr>
        <w:t>4 hour</w:t>
      </w:r>
      <w:proofErr w:type="gramEnd"/>
      <w:r w:rsidRPr="001D2F14">
        <w:rPr>
          <w:rFonts w:ascii="Arial" w:hAnsi="Arial" w:cs="Arial"/>
          <w:sz w:val="22"/>
          <w:szCs w:val="22"/>
        </w:rPr>
        <w:t xml:space="preserve"> cutoff for treatment is 150ug/mL</w:t>
      </w:r>
    </w:p>
    <w:p w14:paraId="18B08030" w14:textId="0167A406" w:rsidR="00E61CB4" w:rsidRPr="001D2F14" w:rsidRDefault="00E61CB4" w:rsidP="00E61CB4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1D2F14">
        <w:rPr>
          <w:rFonts w:ascii="Arial" w:hAnsi="Arial" w:cs="Arial"/>
          <w:sz w:val="22"/>
          <w:szCs w:val="22"/>
        </w:rPr>
        <w:t>10 hour</w:t>
      </w:r>
      <w:proofErr w:type="gramEnd"/>
      <w:r w:rsidRPr="001D2F14">
        <w:rPr>
          <w:rFonts w:ascii="Arial" w:hAnsi="Arial" w:cs="Arial"/>
          <w:sz w:val="22"/>
          <w:szCs w:val="22"/>
        </w:rPr>
        <w:t xml:space="preserve"> cutoff for treatment is ~50ug/ml (53.03 to be exact)</w:t>
      </w:r>
    </w:p>
    <w:p w14:paraId="35F6C467" w14:textId="77777777" w:rsidR="00DD5A3C" w:rsidRPr="001D2F14" w:rsidRDefault="00E61CB4" w:rsidP="00E61CB4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Treatment: </w:t>
      </w:r>
    </w:p>
    <w:p w14:paraId="032A7B5A" w14:textId="77777777" w:rsidR="00DD5A3C" w:rsidRPr="001D2F14" w:rsidRDefault="00DD5A3C" w:rsidP="00DD5A3C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If presents within 1 hour of exposure, give activated charcoal for ingestions &gt; 150mg/kg (or 7.5 g if 12 years or older)</w:t>
      </w:r>
    </w:p>
    <w:p w14:paraId="4E8F6B34" w14:textId="335F9107" w:rsidR="00E61CB4" w:rsidRPr="001D2F14" w:rsidRDefault="00E61CB4" w:rsidP="00DD5A3C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N-acetyl cysteine </w:t>
      </w:r>
      <w:r w:rsidR="00DD5A3C" w:rsidRPr="001D2F14">
        <w:rPr>
          <w:rFonts w:ascii="Arial" w:hAnsi="Arial" w:cs="Arial"/>
          <w:sz w:val="22"/>
          <w:szCs w:val="22"/>
        </w:rPr>
        <w:t xml:space="preserve">if indicated by </w:t>
      </w:r>
      <w:proofErr w:type="spellStart"/>
      <w:r w:rsidR="00DD5A3C" w:rsidRPr="001D2F14">
        <w:rPr>
          <w:rFonts w:ascii="Arial" w:hAnsi="Arial" w:cs="Arial"/>
          <w:sz w:val="22"/>
          <w:szCs w:val="22"/>
        </w:rPr>
        <w:t>Rumack</w:t>
      </w:r>
      <w:proofErr w:type="spellEnd"/>
      <w:r w:rsidR="00DD5A3C" w:rsidRPr="001D2F14">
        <w:rPr>
          <w:rFonts w:ascii="Arial" w:hAnsi="Arial" w:cs="Arial"/>
          <w:sz w:val="22"/>
          <w:szCs w:val="22"/>
        </w:rPr>
        <w:t>-Matthew nomogram</w:t>
      </w:r>
      <w:r w:rsidR="001146F3" w:rsidRPr="001D2F14">
        <w:rPr>
          <w:rFonts w:ascii="Arial" w:hAnsi="Arial" w:cs="Arial"/>
          <w:sz w:val="22"/>
          <w:szCs w:val="22"/>
        </w:rPr>
        <w:t>.</w:t>
      </w:r>
    </w:p>
    <w:p w14:paraId="446ED3D7" w14:textId="74434459" w:rsidR="007179C4" w:rsidRPr="001D2F14" w:rsidRDefault="009605F6" w:rsidP="007179C4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Early presenter protocol</w:t>
      </w:r>
      <w:r w:rsidR="007179C4" w:rsidRPr="001D2F14">
        <w:rPr>
          <w:rFonts w:ascii="Arial" w:hAnsi="Arial" w:cs="Arial"/>
          <w:sz w:val="22"/>
          <w:szCs w:val="22"/>
        </w:rPr>
        <w:t>: 150mg/kg over 60 minutes, 50 mg/kg over 4 hours</w:t>
      </w:r>
      <w:r w:rsidRPr="001D2F14">
        <w:rPr>
          <w:rFonts w:ascii="Arial" w:hAnsi="Arial" w:cs="Arial"/>
          <w:sz w:val="22"/>
          <w:szCs w:val="22"/>
        </w:rPr>
        <w:t xml:space="preserve"> (~12.5 mg/kg/hour)</w:t>
      </w:r>
      <w:r w:rsidR="007179C4" w:rsidRPr="001D2F14">
        <w:rPr>
          <w:rFonts w:ascii="Arial" w:hAnsi="Arial" w:cs="Arial"/>
          <w:sz w:val="22"/>
          <w:szCs w:val="22"/>
        </w:rPr>
        <w:t>, 100 mg/kg over 16 hours</w:t>
      </w:r>
      <w:r w:rsidRPr="001D2F14">
        <w:rPr>
          <w:rFonts w:ascii="Arial" w:hAnsi="Arial" w:cs="Arial"/>
          <w:sz w:val="22"/>
          <w:szCs w:val="22"/>
        </w:rPr>
        <w:t xml:space="preserve"> (~6.25 mg/kg/hour)</w:t>
      </w:r>
      <w:r w:rsidR="007179C4" w:rsidRPr="001D2F14">
        <w:rPr>
          <w:rFonts w:ascii="Arial" w:hAnsi="Arial" w:cs="Arial"/>
          <w:sz w:val="22"/>
          <w:szCs w:val="22"/>
        </w:rPr>
        <w:t xml:space="preserve">. </w:t>
      </w:r>
    </w:p>
    <w:p w14:paraId="53A2006B" w14:textId="618A8C5A" w:rsidR="009605F6" w:rsidRPr="001D2F14" w:rsidRDefault="009605F6" w:rsidP="009605F6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Late presenter protocol: 150mg/kg over 60 minutes followed by 15mg/kg/hour for 44 hours.</w:t>
      </w:r>
      <w:r w:rsidR="00AF2739" w:rsidRPr="001D2F14">
        <w:rPr>
          <w:rFonts w:ascii="Arial" w:hAnsi="Arial" w:cs="Arial"/>
          <w:sz w:val="22"/>
          <w:szCs w:val="22"/>
        </w:rPr>
        <w:t xml:space="preserve"> (???)</w:t>
      </w:r>
    </w:p>
    <w:p w14:paraId="049D0005" w14:textId="3C7A8C8D" w:rsidR="001146F3" w:rsidRPr="001D2F14" w:rsidRDefault="00F222DB" w:rsidP="001146F3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Response to anaphylactoid reactions</w:t>
      </w:r>
    </w:p>
    <w:p w14:paraId="73AF3AE9" w14:textId="3C279206" w:rsidR="00F222DB" w:rsidRPr="001D2F14" w:rsidRDefault="00F222DB" w:rsidP="00F222DB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Flushing: continue NAC</w:t>
      </w:r>
    </w:p>
    <w:p w14:paraId="5519B291" w14:textId="2A3A8466" w:rsidR="00F222DB" w:rsidRPr="001D2F14" w:rsidRDefault="00F222DB" w:rsidP="00F222DB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Hives: Stop infusion, give diphenhydramine, epinephrine, and steroids, and resume infusion when rash has resolved.</w:t>
      </w:r>
    </w:p>
    <w:p w14:paraId="2EB890CE" w14:textId="0DA94936" w:rsidR="00F222DB" w:rsidRPr="001D2F14" w:rsidRDefault="00F222DB" w:rsidP="00F222DB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Angioedema and/or wheezing: Stop infusion, give diphenhydramine, epinephrine, and steroids, and resume infusion when symptoms resolve (but at least 1 hour after epinephrine). </w:t>
      </w:r>
    </w:p>
    <w:p w14:paraId="326A4F32" w14:textId="6E15DAD5" w:rsidR="00F222DB" w:rsidRPr="001D2F14" w:rsidRDefault="00F222DB" w:rsidP="00F222DB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Hypotension or persistent symptoms: treat anaphylaxis, do not resume infusion, give oral NAC instead. </w:t>
      </w:r>
      <w:r w:rsidR="00000C16" w:rsidRPr="00000C16">
        <w:rPr>
          <w:rFonts w:ascii="Arial" w:hAnsi="Arial" w:cs="Arial"/>
          <w:b/>
          <w:bCs/>
          <w:sz w:val="22"/>
          <w:szCs w:val="22"/>
        </w:rPr>
        <w:t>(This is Danielle’s favorite option).</w:t>
      </w:r>
    </w:p>
    <w:p w14:paraId="2F8A31DE" w14:textId="503D1D91" w:rsidR="00F222DB" w:rsidRPr="001D2F14" w:rsidRDefault="00F222DB" w:rsidP="00F222DB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Continue NAC after </w:t>
      </w:r>
      <w:proofErr w:type="gramStart"/>
      <w:r w:rsidRPr="001D2F14">
        <w:rPr>
          <w:rFonts w:ascii="Arial" w:hAnsi="Arial" w:cs="Arial"/>
          <w:sz w:val="22"/>
          <w:szCs w:val="22"/>
        </w:rPr>
        <w:t>22 hour</w:t>
      </w:r>
      <w:proofErr w:type="gramEnd"/>
      <w:r w:rsidRPr="001D2F14">
        <w:rPr>
          <w:rFonts w:ascii="Arial" w:hAnsi="Arial" w:cs="Arial"/>
          <w:sz w:val="22"/>
          <w:szCs w:val="22"/>
        </w:rPr>
        <w:t xml:space="preserve"> protocol if ALT is still elevated or acetaminophen level has not dropped below limit of detection.</w:t>
      </w:r>
    </w:p>
    <w:p w14:paraId="52B9CAA7" w14:textId="701199A8" w:rsidR="00453865" w:rsidRPr="001D2F14" w:rsidRDefault="00453865" w:rsidP="00DD5A3C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Monitor AST/ALT and PT/INR</w:t>
      </w:r>
    </w:p>
    <w:p w14:paraId="6E40BC16" w14:textId="06903C4F" w:rsidR="00453865" w:rsidRPr="001D2F14" w:rsidRDefault="00453865" w:rsidP="00453865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Note: NAC and acetaminophen can elevate INR even in the absence of impaired hepatic synthetic capacity, up to 1.5.</w:t>
      </w:r>
    </w:p>
    <w:p w14:paraId="66666143" w14:textId="117416F7" w:rsidR="00453865" w:rsidRPr="001D2F14" w:rsidRDefault="00453865" w:rsidP="00453865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Hepatic failure requiring transplantation as a result of acetaminophen overdose is exceedingly rare in children. Indications for transplant include:</w:t>
      </w:r>
    </w:p>
    <w:p w14:paraId="74F02B42" w14:textId="2468F882" w:rsidR="00453865" w:rsidRPr="001D2F14" w:rsidRDefault="00453865" w:rsidP="00453865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Acidosis (</w:t>
      </w:r>
      <w:proofErr w:type="spellStart"/>
      <w:r w:rsidRPr="001D2F14">
        <w:rPr>
          <w:rFonts w:ascii="Arial" w:hAnsi="Arial" w:cs="Arial"/>
          <w:sz w:val="22"/>
          <w:szCs w:val="22"/>
        </w:rPr>
        <w:t>ph</w:t>
      </w:r>
      <w:proofErr w:type="spellEnd"/>
      <w:r w:rsidRPr="001D2F14">
        <w:rPr>
          <w:rFonts w:ascii="Arial" w:hAnsi="Arial" w:cs="Arial"/>
          <w:sz w:val="22"/>
          <w:szCs w:val="22"/>
        </w:rPr>
        <w:t xml:space="preserve"> &lt; 7.3) </w:t>
      </w:r>
      <w:r w:rsidRPr="001D2F14">
        <w:rPr>
          <w:rFonts w:ascii="Arial" w:hAnsi="Arial" w:cs="Arial"/>
          <w:b/>
          <w:bCs/>
          <w:sz w:val="22"/>
          <w:szCs w:val="22"/>
        </w:rPr>
        <w:t>by itself OR</w:t>
      </w:r>
    </w:p>
    <w:p w14:paraId="556132B8" w14:textId="24CB30F8" w:rsidR="00453865" w:rsidRPr="001D2F14" w:rsidRDefault="00453865" w:rsidP="00453865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Encephalopathy </w:t>
      </w:r>
      <w:r w:rsidRPr="001D2F14">
        <w:rPr>
          <w:rFonts w:ascii="Arial" w:hAnsi="Arial" w:cs="Arial"/>
          <w:b/>
          <w:bCs/>
          <w:sz w:val="22"/>
          <w:szCs w:val="22"/>
        </w:rPr>
        <w:t>and</w:t>
      </w:r>
    </w:p>
    <w:p w14:paraId="6B77D1CE" w14:textId="2F1C72C2" w:rsidR="00453865" w:rsidRPr="001D2F14" w:rsidRDefault="00453865" w:rsidP="00453865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Creatinine &gt; 3.4 </w:t>
      </w:r>
      <w:r w:rsidRPr="001D2F14">
        <w:rPr>
          <w:rFonts w:ascii="Arial" w:hAnsi="Arial" w:cs="Arial"/>
          <w:b/>
          <w:bCs/>
          <w:sz w:val="22"/>
          <w:szCs w:val="22"/>
        </w:rPr>
        <w:t>and</w:t>
      </w:r>
    </w:p>
    <w:p w14:paraId="6C6180AC" w14:textId="2DA1C9F6" w:rsidR="00453865" w:rsidRPr="001D2F14" w:rsidRDefault="00453865" w:rsidP="00453865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Prothrombin time &gt; 100 seconds</w:t>
      </w:r>
    </w:p>
    <w:p w14:paraId="1FC9156C" w14:textId="1087DA05" w:rsidR="00DF0D32" w:rsidRPr="001D2F14" w:rsidRDefault="00E61CB4" w:rsidP="00DF0D32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Aspirin</w:t>
      </w:r>
    </w:p>
    <w:p w14:paraId="462DDAB6" w14:textId="074218F7" w:rsidR="00D86D0B" w:rsidRPr="001D2F14" w:rsidRDefault="00D86D0B" w:rsidP="00D86D0B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Clinical presentation: </w:t>
      </w:r>
      <w:r w:rsidR="00AA20E1" w:rsidRPr="001D2F14">
        <w:rPr>
          <w:rFonts w:ascii="Arial" w:hAnsi="Arial" w:cs="Arial"/>
          <w:sz w:val="22"/>
          <w:szCs w:val="22"/>
        </w:rPr>
        <w:t>Tinnitus, n</w:t>
      </w:r>
      <w:r w:rsidRPr="001D2F14">
        <w:rPr>
          <w:rFonts w:ascii="Arial" w:hAnsi="Arial" w:cs="Arial"/>
          <w:sz w:val="22"/>
          <w:szCs w:val="22"/>
        </w:rPr>
        <w:t>ausea, vomiting, possibly agitation and confusion or coma, combined with a mixed acid/base disturbance (respiratory alkalosis with metabolic acidosis)</w:t>
      </w:r>
      <w:r w:rsidR="00FA2F6A" w:rsidRPr="001D2F14">
        <w:rPr>
          <w:rFonts w:ascii="Arial" w:hAnsi="Arial" w:cs="Arial"/>
          <w:sz w:val="22"/>
          <w:szCs w:val="22"/>
        </w:rPr>
        <w:t>, hypokalemia, and hyper- or hypo-glycemia</w:t>
      </w:r>
      <w:r w:rsidR="006C40FC" w:rsidRPr="001D2F14">
        <w:rPr>
          <w:rFonts w:ascii="Arial" w:hAnsi="Arial" w:cs="Arial"/>
          <w:sz w:val="22"/>
          <w:szCs w:val="22"/>
        </w:rPr>
        <w:t>.</w:t>
      </w:r>
    </w:p>
    <w:p w14:paraId="0DC468C4" w14:textId="6D746D7E" w:rsidR="006C40FC" w:rsidRPr="001D2F14" w:rsidRDefault="006C40FC" w:rsidP="006C40FC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Typically, symptoms are apparent with ingestions &gt; 300mg/kg and serum levels &gt; 30mg/dL.</w:t>
      </w:r>
    </w:p>
    <w:p w14:paraId="49C953DC" w14:textId="51DD5C32" w:rsidR="00FA2F6A" w:rsidRPr="001D2F14" w:rsidRDefault="00FA2F6A" w:rsidP="00D86D0B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lastRenderedPageBreak/>
        <w:t xml:space="preserve">Workup: Monitor blood gas, </w:t>
      </w:r>
      <w:r w:rsidR="00D917D0" w:rsidRPr="001D2F14">
        <w:rPr>
          <w:rFonts w:ascii="Arial" w:hAnsi="Arial" w:cs="Arial"/>
          <w:sz w:val="22"/>
          <w:szCs w:val="22"/>
        </w:rPr>
        <w:t xml:space="preserve">electrolytes, </w:t>
      </w:r>
      <w:proofErr w:type="spellStart"/>
      <w:r w:rsidR="00D917D0" w:rsidRPr="001D2F14">
        <w:rPr>
          <w:rFonts w:ascii="Arial" w:hAnsi="Arial" w:cs="Arial"/>
          <w:sz w:val="22"/>
          <w:szCs w:val="22"/>
        </w:rPr>
        <w:t>coags</w:t>
      </w:r>
      <w:proofErr w:type="spellEnd"/>
      <w:r w:rsidR="00D917D0" w:rsidRPr="001D2F14">
        <w:rPr>
          <w:rFonts w:ascii="Arial" w:hAnsi="Arial" w:cs="Arial"/>
          <w:sz w:val="22"/>
          <w:szCs w:val="22"/>
        </w:rPr>
        <w:t>, and salicylate levels every 2 hours until stable.</w:t>
      </w:r>
    </w:p>
    <w:p w14:paraId="3426D47D" w14:textId="323602DD" w:rsidR="00D917D0" w:rsidRPr="001D2F14" w:rsidRDefault="00D917D0" w:rsidP="00D86D0B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Treatment: </w:t>
      </w:r>
    </w:p>
    <w:p w14:paraId="30C1245F" w14:textId="75BAD7EF" w:rsidR="00AA20E1" w:rsidRPr="001D2F14" w:rsidRDefault="00AA20E1" w:rsidP="00D917D0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Activated charcoal if exposure &lt; 1 hour prior to presentation</w:t>
      </w:r>
    </w:p>
    <w:p w14:paraId="5D18AD2D" w14:textId="191EF9A2" w:rsidR="00D917D0" w:rsidRPr="001D2F14" w:rsidRDefault="00D917D0" w:rsidP="00D917D0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Maintain K levels &gt; 4</w:t>
      </w:r>
      <w:r w:rsidR="000B7962" w:rsidRPr="001D2F14">
        <w:rPr>
          <w:rFonts w:ascii="Arial" w:hAnsi="Arial" w:cs="Arial"/>
          <w:sz w:val="22"/>
          <w:szCs w:val="22"/>
        </w:rPr>
        <w:t xml:space="preserve"> (to minimize excretion of H+ into urine)</w:t>
      </w:r>
    </w:p>
    <w:p w14:paraId="21219DD5" w14:textId="7FA6D197" w:rsidR="00D917D0" w:rsidRPr="001D2F14" w:rsidRDefault="00D917D0" w:rsidP="00D917D0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Alkalinize if salicylate level &gt; 30 mg/dL, with target urine pH &gt; 8.5 (and serum</w:t>
      </w:r>
      <w:r w:rsidR="00AA20E1" w:rsidRPr="001D2F14">
        <w:rPr>
          <w:rFonts w:ascii="Arial" w:hAnsi="Arial" w:cs="Arial"/>
          <w:sz w:val="22"/>
          <w:szCs w:val="22"/>
        </w:rPr>
        <w:t xml:space="preserve"> pH</w:t>
      </w:r>
      <w:r w:rsidRPr="001D2F14">
        <w:rPr>
          <w:rFonts w:ascii="Arial" w:hAnsi="Arial" w:cs="Arial"/>
          <w:sz w:val="22"/>
          <w:szCs w:val="22"/>
        </w:rPr>
        <w:t xml:space="preserve"> </w:t>
      </w:r>
      <w:r w:rsidR="00AA20E1" w:rsidRPr="001D2F14">
        <w:rPr>
          <w:rFonts w:ascii="Arial" w:hAnsi="Arial" w:cs="Arial"/>
          <w:sz w:val="22"/>
          <w:szCs w:val="22"/>
        </w:rPr>
        <w:t xml:space="preserve">up to </w:t>
      </w:r>
      <w:r w:rsidRPr="001D2F14">
        <w:rPr>
          <w:rFonts w:ascii="Arial" w:hAnsi="Arial" w:cs="Arial"/>
          <w:sz w:val="22"/>
          <w:szCs w:val="22"/>
        </w:rPr>
        <w:t>7.55)</w:t>
      </w:r>
    </w:p>
    <w:p w14:paraId="1AE33CCF" w14:textId="77777777" w:rsidR="00AA20E1" w:rsidRPr="001D2F14" w:rsidRDefault="00AA20E1" w:rsidP="00AA20E1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Sodium bicarb dosing</w:t>
      </w:r>
    </w:p>
    <w:p w14:paraId="067FB4C7" w14:textId="5080CC23" w:rsidR="00AA20E1" w:rsidRPr="001D2F14" w:rsidRDefault="00AA20E1" w:rsidP="00AA20E1">
      <w:pPr>
        <w:pStyle w:val="ListParagraph"/>
        <w:numPr>
          <w:ilvl w:val="5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Initial: 1 to 2 </w:t>
      </w:r>
      <w:proofErr w:type="spellStart"/>
      <w:r w:rsidRPr="001D2F14">
        <w:rPr>
          <w:rFonts w:ascii="Arial" w:hAnsi="Arial" w:cs="Arial"/>
          <w:sz w:val="22"/>
          <w:szCs w:val="22"/>
        </w:rPr>
        <w:t>mEq</w:t>
      </w:r>
      <w:proofErr w:type="spellEnd"/>
      <w:r w:rsidRPr="001D2F14">
        <w:rPr>
          <w:rFonts w:ascii="Arial" w:hAnsi="Arial" w:cs="Arial"/>
          <w:sz w:val="22"/>
          <w:szCs w:val="22"/>
        </w:rPr>
        <w:t xml:space="preserve">/kg (maximum 100 </w:t>
      </w:r>
      <w:proofErr w:type="spellStart"/>
      <w:r w:rsidRPr="001D2F14">
        <w:rPr>
          <w:rFonts w:ascii="Arial" w:hAnsi="Arial" w:cs="Arial"/>
          <w:sz w:val="22"/>
          <w:szCs w:val="22"/>
        </w:rPr>
        <w:t>mEq</w:t>
      </w:r>
      <w:proofErr w:type="spellEnd"/>
      <w:r w:rsidRPr="001D2F14">
        <w:rPr>
          <w:rFonts w:ascii="Arial" w:hAnsi="Arial" w:cs="Arial"/>
          <w:sz w:val="22"/>
          <w:szCs w:val="22"/>
        </w:rPr>
        <w:t>) IV push over 3 to 5 minutes and/or</w:t>
      </w:r>
    </w:p>
    <w:p w14:paraId="793681A8" w14:textId="26997D60" w:rsidR="00BD0836" w:rsidRPr="001D2F14" w:rsidRDefault="00AA20E1" w:rsidP="00A347F7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Maintenance: 100 to 150 </w:t>
      </w:r>
      <w:proofErr w:type="spellStart"/>
      <w:r w:rsidRPr="001D2F14">
        <w:rPr>
          <w:rFonts w:ascii="Arial" w:hAnsi="Arial" w:cs="Arial"/>
          <w:sz w:val="22"/>
          <w:szCs w:val="22"/>
        </w:rPr>
        <w:t>mEq</w:t>
      </w:r>
      <w:proofErr w:type="spellEnd"/>
      <w:r w:rsidRPr="001D2F14">
        <w:rPr>
          <w:rFonts w:ascii="Arial" w:hAnsi="Arial" w:cs="Arial"/>
          <w:sz w:val="22"/>
          <w:szCs w:val="22"/>
        </w:rPr>
        <w:t xml:space="preserve"> sodium bicarbonate in 1 L of D5W, at 1.5 to 2 times maintenance rate</w:t>
      </w:r>
    </w:p>
    <w:p w14:paraId="696B966D" w14:textId="70EB799E" w:rsidR="006C40FC" w:rsidRPr="001D2F14" w:rsidRDefault="006C40FC" w:rsidP="006C40FC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If altered mental status, supplemental glucose </w:t>
      </w:r>
      <w:r w:rsidRPr="001D2F14">
        <w:rPr>
          <w:rFonts w:ascii="Arial" w:hAnsi="Arial" w:cs="Arial"/>
          <w:b/>
          <w:bCs/>
          <w:sz w:val="22"/>
          <w:szCs w:val="22"/>
        </w:rPr>
        <w:t>regardless of serum level</w:t>
      </w:r>
      <w:r w:rsidRPr="001D2F14">
        <w:rPr>
          <w:rFonts w:ascii="Arial" w:hAnsi="Arial" w:cs="Arial"/>
          <w:sz w:val="22"/>
          <w:szCs w:val="22"/>
        </w:rPr>
        <w:t xml:space="preserve"> (as CSF levels may be paradoxically low). </w:t>
      </w:r>
    </w:p>
    <w:p w14:paraId="14A58A54" w14:textId="7C261812" w:rsidR="000B7962" w:rsidRPr="001D2F14" w:rsidRDefault="000B7962" w:rsidP="006C40FC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Consider preparations for hemodialysis.</w:t>
      </w:r>
    </w:p>
    <w:p w14:paraId="5C7653BD" w14:textId="31CB9BB8" w:rsidR="00E251F0" w:rsidRPr="001D2F14" w:rsidRDefault="00E251F0" w:rsidP="00E251F0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Anti-hypertensives</w:t>
      </w:r>
    </w:p>
    <w:p w14:paraId="13508E64" w14:textId="15500EA1" w:rsidR="00E251F0" w:rsidRPr="001D2F14" w:rsidRDefault="00E251F0" w:rsidP="00E251F0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Clinical presentation: hypotension, bradycardia, hypoglycemia (beta-blockers) or hyperglycemia (calcium channel blockers).</w:t>
      </w:r>
    </w:p>
    <w:p w14:paraId="3B4E040A" w14:textId="6D3ED36C" w:rsidR="00E251F0" w:rsidRPr="001D2F14" w:rsidRDefault="00CD4916" w:rsidP="00E251F0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Workup: Cardiac monitoring, blood glucose monitoring</w:t>
      </w:r>
    </w:p>
    <w:p w14:paraId="1E41BF36" w14:textId="11478232" w:rsidR="00CD4916" w:rsidRPr="001D2F14" w:rsidRDefault="00CD4916" w:rsidP="00E251F0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Treatment:</w:t>
      </w:r>
    </w:p>
    <w:p w14:paraId="6A0B3693" w14:textId="77777777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Activated charcoal (if less than 1hour since ingestion)</w:t>
      </w:r>
    </w:p>
    <w:p w14:paraId="00CA87E0" w14:textId="77777777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Fluids</w:t>
      </w:r>
    </w:p>
    <w:p w14:paraId="2B252DF4" w14:textId="0781F75C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Dextrose if hypoglycemic</w:t>
      </w:r>
    </w:p>
    <w:p w14:paraId="1FFB423D" w14:textId="093FA404" w:rsidR="001867D5" w:rsidRPr="001D2F14" w:rsidRDefault="001867D5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Atropine and/or naloxone (for clonidine ingestion)</w:t>
      </w:r>
    </w:p>
    <w:p w14:paraId="7F5A68DD" w14:textId="2A376B89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Glucagon (especially for beta-blocker ingestion)</w:t>
      </w:r>
    </w:p>
    <w:p w14:paraId="7A86516B" w14:textId="16BD31A3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IV Calcium (for calcium channel blocker)</w:t>
      </w:r>
    </w:p>
    <w:p w14:paraId="732603CB" w14:textId="6060BC0D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High dose insulin + glucose (presumably in the ICU)</w:t>
      </w:r>
    </w:p>
    <w:p w14:paraId="003725AD" w14:textId="6983E652" w:rsidR="00CD4916" w:rsidRPr="001D2F14" w:rsidRDefault="00CD4916" w:rsidP="00CD4916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Vasopressors (</w:t>
      </w:r>
      <w:proofErr w:type="gramStart"/>
      <w:r w:rsidRPr="001D2F14">
        <w:rPr>
          <w:rFonts w:ascii="Arial" w:hAnsi="Arial" w:cs="Arial"/>
          <w:sz w:val="22"/>
          <w:szCs w:val="22"/>
        </w:rPr>
        <w:t>definitely in</w:t>
      </w:r>
      <w:proofErr w:type="gramEnd"/>
      <w:r w:rsidRPr="001D2F14">
        <w:rPr>
          <w:rFonts w:ascii="Arial" w:hAnsi="Arial" w:cs="Arial"/>
          <w:sz w:val="22"/>
          <w:szCs w:val="22"/>
        </w:rPr>
        <w:t xml:space="preserve"> the ICU)</w:t>
      </w:r>
    </w:p>
    <w:p w14:paraId="0427D2D3" w14:textId="41F16A9C" w:rsidR="001867D5" w:rsidRPr="001D2F14" w:rsidRDefault="001867D5" w:rsidP="001867D5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Iron</w:t>
      </w:r>
    </w:p>
    <w:p w14:paraId="6593B564" w14:textId="516B59CC" w:rsidR="001867D5" w:rsidRPr="001D2F14" w:rsidRDefault="001867D5" w:rsidP="001867D5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Clinical presentation: multiphase syndrome evolving over days featuring GI symptoms for first few hours, followed by up to a day of apparent recovery, followed by cardiovascular collapse, acidosis, hep</w:t>
      </w:r>
      <w:r w:rsidR="00ED556D" w:rsidRPr="001D2F14">
        <w:rPr>
          <w:rFonts w:ascii="Arial" w:hAnsi="Arial" w:cs="Arial"/>
          <w:sz w:val="22"/>
          <w:szCs w:val="22"/>
        </w:rPr>
        <w:t>a</w:t>
      </w:r>
      <w:r w:rsidRPr="001D2F14">
        <w:rPr>
          <w:rFonts w:ascii="Arial" w:hAnsi="Arial" w:cs="Arial"/>
          <w:sz w:val="22"/>
          <w:szCs w:val="22"/>
        </w:rPr>
        <w:t>tic failure, GI bleeding, coma and death. Bowel obstruction from GI scarring is a long</w:t>
      </w:r>
      <w:r w:rsidR="00AC6D7B">
        <w:rPr>
          <w:rFonts w:ascii="Arial" w:hAnsi="Arial" w:cs="Arial"/>
          <w:sz w:val="22"/>
          <w:szCs w:val="22"/>
        </w:rPr>
        <w:t>-</w:t>
      </w:r>
      <w:r w:rsidRPr="001D2F14">
        <w:rPr>
          <w:rFonts w:ascii="Arial" w:hAnsi="Arial" w:cs="Arial"/>
          <w:sz w:val="22"/>
          <w:szCs w:val="22"/>
        </w:rPr>
        <w:t>term complication.</w:t>
      </w:r>
    </w:p>
    <w:p w14:paraId="1BA9EF87" w14:textId="301B91CA" w:rsidR="00FA6035" w:rsidRPr="001D2F14" w:rsidRDefault="00FA6035" w:rsidP="001867D5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Workup: </w:t>
      </w:r>
      <w:r w:rsidR="00877D72" w:rsidRPr="001D2F14">
        <w:rPr>
          <w:rFonts w:ascii="Arial" w:hAnsi="Arial" w:cs="Arial"/>
          <w:sz w:val="22"/>
          <w:szCs w:val="22"/>
        </w:rPr>
        <w:t>Abdominal films, i</w:t>
      </w:r>
      <w:r w:rsidRPr="001D2F14">
        <w:rPr>
          <w:rFonts w:ascii="Arial" w:hAnsi="Arial" w:cs="Arial"/>
          <w:sz w:val="22"/>
          <w:szCs w:val="22"/>
        </w:rPr>
        <w:t>ron level 4-6 hours after ingestion</w:t>
      </w:r>
      <w:r w:rsidR="00ED556D" w:rsidRPr="001D2F14">
        <w:rPr>
          <w:rFonts w:ascii="Arial" w:hAnsi="Arial" w:cs="Arial"/>
          <w:sz w:val="22"/>
          <w:szCs w:val="22"/>
        </w:rPr>
        <w:t>, and monitoring of electrolytes, blood gas, and liver enzymes and function (</w:t>
      </w:r>
      <w:proofErr w:type="spellStart"/>
      <w:r w:rsidR="00ED556D" w:rsidRPr="001D2F14">
        <w:rPr>
          <w:rFonts w:ascii="Arial" w:hAnsi="Arial" w:cs="Arial"/>
          <w:sz w:val="22"/>
          <w:szCs w:val="22"/>
        </w:rPr>
        <w:t>coags</w:t>
      </w:r>
      <w:proofErr w:type="spellEnd"/>
      <w:r w:rsidR="00ED556D" w:rsidRPr="001D2F14">
        <w:rPr>
          <w:rFonts w:ascii="Arial" w:hAnsi="Arial" w:cs="Arial"/>
          <w:sz w:val="22"/>
          <w:szCs w:val="22"/>
        </w:rPr>
        <w:t>).</w:t>
      </w:r>
    </w:p>
    <w:p w14:paraId="63FF4F19" w14:textId="1A11955B" w:rsidR="00FA6035" w:rsidRPr="001D2F14" w:rsidRDefault="00FA6035" w:rsidP="00FA6035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Toxicity is apparent with levels &gt;350ug/dL</w:t>
      </w:r>
      <w:r w:rsidR="0057303D" w:rsidRPr="001D2F14">
        <w:rPr>
          <w:rFonts w:ascii="Arial" w:hAnsi="Arial" w:cs="Arial"/>
          <w:sz w:val="22"/>
          <w:szCs w:val="22"/>
        </w:rPr>
        <w:t xml:space="preserve"> (somewhere around 20-40mg/kg of elemental iron—note that commonly available supplements are 12-30% elemental iron as a percent of total iron salt)</w:t>
      </w:r>
    </w:p>
    <w:p w14:paraId="64DDF429" w14:textId="14AAE4DB" w:rsidR="00FA6035" w:rsidRPr="001D2F14" w:rsidRDefault="00FA6035" w:rsidP="00FA6035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Treatment</w:t>
      </w:r>
    </w:p>
    <w:p w14:paraId="7B1A7488" w14:textId="44258890" w:rsidR="00FA6035" w:rsidRPr="001D2F14" w:rsidRDefault="00FA6035" w:rsidP="00FA6035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Supportive care</w:t>
      </w:r>
    </w:p>
    <w:p w14:paraId="33E082DB" w14:textId="77777777" w:rsidR="002335E8" w:rsidRPr="001D2F14" w:rsidRDefault="00FA6035" w:rsidP="00FA6035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>Chelation with deferoxamine</w:t>
      </w:r>
    </w:p>
    <w:p w14:paraId="6EF4E2D0" w14:textId="432EF48E" w:rsidR="00FA6035" w:rsidRPr="001D2F14" w:rsidRDefault="00FA6035" w:rsidP="002335E8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 </w:t>
      </w:r>
      <w:r w:rsidR="002335E8" w:rsidRPr="001D2F14">
        <w:rPr>
          <w:rFonts w:ascii="Arial" w:hAnsi="Arial" w:cs="Arial"/>
          <w:sz w:val="22"/>
          <w:szCs w:val="22"/>
        </w:rPr>
        <w:t>I</w:t>
      </w:r>
      <w:r w:rsidRPr="001D2F14">
        <w:rPr>
          <w:rFonts w:ascii="Arial" w:hAnsi="Arial" w:cs="Arial"/>
          <w:sz w:val="22"/>
          <w:szCs w:val="22"/>
        </w:rPr>
        <w:t>f iron level &gt;500ug/dL</w:t>
      </w:r>
      <w:r w:rsidR="00877D72" w:rsidRPr="001D2F14">
        <w:rPr>
          <w:rFonts w:ascii="Arial" w:hAnsi="Arial" w:cs="Arial"/>
          <w:sz w:val="22"/>
          <w:szCs w:val="22"/>
        </w:rPr>
        <w:t xml:space="preserve">, </w:t>
      </w:r>
      <w:r w:rsidR="00ED556D" w:rsidRPr="001D2F14">
        <w:rPr>
          <w:rFonts w:ascii="Arial" w:hAnsi="Arial" w:cs="Arial"/>
          <w:sz w:val="22"/>
          <w:szCs w:val="22"/>
        </w:rPr>
        <w:t xml:space="preserve">or ingestion of &gt;60mg/kg </w:t>
      </w:r>
      <w:r w:rsidR="00ED556D" w:rsidRPr="001D2F14">
        <w:rPr>
          <w:rFonts w:ascii="Arial" w:hAnsi="Arial" w:cs="Arial"/>
          <w:b/>
          <w:bCs/>
          <w:sz w:val="22"/>
          <w:szCs w:val="22"/>
        </w:rPr>
        <w:t>elemental</w:t>
      </w:r>
      <w:r w:rsidR="00ED556D" w:rsidRPr="001D2F14">
        <w:rPr>
          <w:rFonts w:ascii="Arial" w:hAnsi="Arial" w:cs="Arial"/>
          <w:sz w:val="22"/>
          <w:szCs w:val="22"/>
        </w:rPr>
        <w:t xml:space="preserve"> iron</w:t>
      </w:r>
      <w:r w:rsidR="00877D72" w:rsidRPr="001D2F14">
        <w:rPr>
          <w:rFonts w:ascii="Arial" w:hAnsi="Arial" w:cs="Arial"/>
          <w:sz w:val="22"/>
          <w:szCs w:val="22"/>
        </w:rPr>
        <w:t xml:space="preserve">, or “significant” number of </w:t>
      </w:r>
      <w:proofErr w:type="spellStart"/>
      <w:r w:rsidR="00877D72" w:rsidRPr="001D2F14">
        <w:rPr>
          <w:rFonts w:ascii="Arial" w:hAnsi="Arial" w:cs="Arial"/>
          <w:sz w:val="22"/>
          <w:szCs w:val="22"/>
        </w:rPr>
        <w:t>radioopaque</w:t>
      </w:r>
      <w:proofErr w:type="spellEnd"/>
      <w:r w:rsidR="00877D72" w:rsidRPr="001D2F14">
        <w:rPr>
          <w:rFonts w:ascii="Arial" w:hAnsi="Arial" w:cs="Arial"/>
          <w:sz w:val="22"/>
          <w:szCs w:val="22"/>
        </w:rPr>
        <w:t xml:space="preserve"> pills on </w:t>
      </w:r>
      <w:proofErr w:type="spellStart"/>
      <w:r w:rsidR="00877D72" w:rsidRPr="001D2F14">
        <w:rPr>
          <w:rFonts w:ascii="Arial" w:hAnsi="Arial" w:cs="Arial"/>
          <w:sz w:val="22"/>
          <w:szCs w:val="22"/>
        </w:rPr>
        <w:t>xray</w:t>
      </w:r>
      <w:proofErr w:type="spellEnd"/>
      <w:r w:rsidR="00877D72" w:rsidRPr="001D2F14">
        <w:rPr>
          <w:rFonts w:ascii="Arial" w:hAnsi="Arial" w:cs="Arial"/>
          <w:sz w:val="22"/>
          <w:szCs w:val="22"/>
        </w:rPr>
        <w:t xml:space="preserve">. </w:t>
      </w:r>
    </w:p>
    <w:p w14:paraId="7B68CF03" w14:textId="6229A88C" w:rsidR="002335E8" w:rsidRPr="001D2F14" w:rsidRDefault="002335E8" w:rsidP="002335E8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Initial dose: 5-15mg/kg/hour, titrating up every couple of hours </w:t>
      </w:r>
    </w:p>
    <w:p w14:paraId="468626E1" w14:textId="343A2FA5" w:rsidR="002335E8" w:rsidRPr="001D2F14" w:rsidRDefault="002335E8" w:rsidP="002335E8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lastRenderedPageBreak/>
        <w:t>Details of starting dose and duration of therapy remain controversial so get help from a toxicologist.</w:t>
      </w:r>
    </w:p>
    <w:p w14:paraId="37428FEE" w14:textId="1E60D628" w:rsidR="00C40367" w:rsidRDefault="00C40367" w:rsidP="002335E8">
      <w:pPr>
        <w:pStyle w:val="ListParagraph"/>
        <w:numPr>
          <w:ilvl w:val="5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 w:rsidRPr="001D2F14">
        <w:rPr>
          <w:rFonts w:ascii="Arial" w:hAnsi="Arial" w:cs="Arial"/>
          <w:sz w:val="22"/>
          <w:szCs w:val="22"/>
        </w:rPr>
        <w:t xml:space="preserve">Note: </w:t>
      </w:r>
      <w:r w:rsidR="006915E2" w:rsidRPr="001D2F14">
        <w:rPr>
          <w:rFonts w:ascii="Arial" w:hAnsi="Arial" w:cs="Arial"/>
          <w:sz w:val="22"/>
          <w:szCs w:val="22"/>
        </w:rPr>
        <w:t xml:space="preserve">chelation therapy will turn urine orange/red as iron is chelated and cleared. </w:t>
      </w:r>
    </w:p>
    <w:p w14:paraId="0404775B" w14:textId="5F0BF987" w:rsidR="00AC6D7B" w:rsidRDefault="00AC6D7B" w:rsidP="00AC6D7B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Methemoglobinemia</w:t>
      </w:r>
    </w:p>
    <w:p w14:paraId="69709053" w14:textId="5DA6B413" w:rsidR="00AC6D7B" w:rsidRDefault="00AC6D7B" w:rsidP="00AC6D7B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Clinical presentation: </w:t>
      </w:r>
      <w:r w:rsidR="0094237D">
        <w:rPr>
          <w:rFonts w:ascii="Arial" w:hAnsi="Arial" w:cs="Arial"/>
          <w:sz w:val="22"/>
          <w:szCs w:val="22"/>
        </w:rPr>
        <w:t xml:space="preserve">Headache, dyspnea, syncope, confusion, chest pain, seizures, acidosis, coma, death. </w:t>
      </w:r>
    </w:p>
    <w:p w14:paraId="5F5721AE" w14:textId="243C049F" w:rsidR="0094237D" w:rsidRDefault="0094237D" w:rsidP="0094237D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May be hereditary or secondary to dapsone, benzocaine, hydroxychloroquine, </w:t>
      </w:r>
    </w:p>
    <w:p w14:paraId="08438786" w14:textId="52663070" w:rsidR="0094237D" w:rsidRDefault="0094237D" w:rsidP="00AC6D7B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Workup: Pulse oximetry, blood gas (desaturation—typically 85%—unresponsive to increased F</w:t>
      </w:r>
      <w:r w:rsidRPr="0094237D">
        <w:rPr>
          <w:rFonts w:ascii="Arial" w:hAnsi="Arial" w:cs="Arial"/>
          <w:sz w:val="22"/>
          <w:szCs w:val="22"/>
          <w:vertAlign w:val="subscript"/>
        </w:rPr>
        <w:t>i</w:t>
      </w:r>
      <w:r>
        <w:rPr>
          <w:rFonts w:ascii="Arial" w:hAnsi="Arial" w:cs="Arial"/>
          <w:sz w:val="22"/>
          <w:szCs w:val="22"/>
        </w:rPr>
        <w:t>O</w:t>
      </w:r>
      <w:r w:rsidRPr="0094237D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 combined with normal P</w:t>
      </w:r>
      <w:r w:rsidRPr="0094237D">
        <w:rPr>
          <w:rFonts w:ascii="Arial" w:hAnsi="Arial" w:cs="Arial"/>
          <w:sz w:val="22"/>
          <w:szCs w:val="22"/>
          <w:vertAlign w:val="subscript"/>
        </w:rPr>
        <w:t>a</w:t>
      </w:r>
      <w:r>
        <w:rPr>
          <w:rFonts w:ascii="Arial" w:hAnsi="Arial" w:cs="Arial"/>
          <w:sz w:val="22"/>
          <w:szCs w:val="22"/>
        </w:rPr>
        <w:t>O</w:t>
      </w:r>
      <w:r w:rsidRPr="0094237D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 is the classic finding), chocolate brown blood, </w:t>
      </w:r>
      <w:r w:rsidR="005E0645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-oximetry.</w:t>
      </w:r>
      <w:r w:rsidR="005E0645">
        <w:rPr>
          <w:rFonts w:ascii="Arial" w:hAnsi="Arial" w:cs="Arial"/>
          <w:sz w:val="22"/>
          <w:szCs w:val="22"/>
        </w:rPr>
        <w:t xml:space="preserve"> (Note that many blood gas machines can measure methemoglobin directly).</w:t>
      </w:r>
    </w:p>
    <w:p w14:paraId="355D24BC" w14:textId="31C571E6" w:rsidR="005E0645" w:rsidRDefault="005E0645" w:rsidP="00AC6D7B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Treatment: remove offending agent, give oxygen and methylene blue (</w:t>
      </w:r>
      <w:r w:rsidRPr="005E0645">
        <w:rPr>
          <w:rFonts w:ascii="Arial" w:hAnsi="Arial" w:cs="Arial"/>
          <w:b/>
          <w:bCs/>
          <w:sz w:val="22"/>
          <w:szCs w:val="22"/>
        </w:rPr>
        <w:t xml:space="preserve">unless </w:t>
      </w:r>
      <w:r>
        <w:rPr>
          <w:rFonts w:ascii="Arial" w:hAnsi="Arial" w:cs="Arial"/>
          <w:sz w:val="22"/>
          <w:szCs w:val="22"/>
        </w:rPr>
        <w:t>patient has G6PD deficiency!)</w:t>
      </w:r>
    </w:p>
    <w:p w14:paraId="7EAF4DC2" w14:textId="74007F5A" w:rsidR="005E0645" w:rsidRDefault="005E0645" w:rsidP="005E0645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</w:t>
      </w:r>
    </w:p>
    <w:p w14:paraId="52228DB0" w14:textId="20CEDBEA" w:rsidR="005E0645" w:rsidRDefault="005E0645" w:rsidP="005E0645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Presentation: </w:t>
      </w:r>
      <w:r w:rsidR="0099780D">
        <w:rPr>
          <w:rFonts w:ascii="Arial" w:hAnsi="Arial" w:cs="Arial"/>
          <w:sz w:val="22"/>
          <w:szCs w:val="22"/>
        </w:rPr>
        <w:t>anemia, abdominal pain, fatigue, declining school performance, encephalopathy, blue-black lines along gums and at edge of teeth</w:t>
      </w:r>
    </w:p>
    <w:p w14:paraId="3AD76385" w14:textId="2039586B" w:rsidR="0099780D" w:rsidRDefault="0099780D" w:rsidP="005E0645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Workup: Lead level, CBC. Consider abdominal </w:t>
      </w:r>
      <w:proofErr w:type="spellStart"/>
      <w:r>
        <w:rPr>
          <w:rFonts w:ascii="Arial" w:hAnsi="Arial" w:cs="Arial"/>
          <w:sz w:val="22"/>
          <w:szCs w:val="22"/>
        </w:rPr>
        <w:t>xray</w:t>
      </w:r>
      <w:proofErr w:type="spellEnd"/>
      <w:r>
        <w:rPr>
          <w:rFonts w:ascii="Arial" w:hAnsi="Arial" w:cs="Arial"/>
          <w:sz w:val="22"/>
          <w:szCs w:val="22"/>
        </w:rPr>
        <w:t xml:space="preserve"> if PICA to identify </w:t>
      </w:r>
      <w:proofErr w:type="spellStart"/>
      <w:r>
        <w:rPr>
          <w:rFonts w:ascii="Arial" w:hAnsi="Arial" w:cs="Arial"/>
          <w:sz w:val="22"/>
          <w:szCs w:val="22"/>
        </w:rPr>
        <w:t>intraintestinal</w:t>
      </w:r>
      <w:proofErr w:type="spellEnd"/>
      <w:r>
        <w:rPr>
          <w:rFonts w:ascii="Arial" w:hAnsi="Arial" w:cs="Arial"/>
          <w:sz w:val="22"/>
          <w:szCs w:val="22"/>
        </w:rPr>
        <w:t xml:space="preserve"> load of lead containing material. </w:t>
      </w:r>
      <w:r w:rsidR="00051289">
        <w:rPr>
          <w:rFonts w:ascii="Arial" w:hAnsi="Arial" w:cs="Arial"/>
          <w:sz w:val="22"/>
          <w:szCs w:val="22"/>
        </w:rPr>
        <w:t xml:space="preserve">If moderate to severe intoxication, add CMP, calcium, magnesium, iron studies, and UA. If encephalopathic, add head CT. </w:t>
      </w:r>
    </w:p>
    <w:p w14:paraId="52C33104" w14:textId="73DEAC98" w:rsidR="0099780D" w:rsidRDefault="0099780D" w:rsidP="005E0645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Treatment:</w:t>
      </w:r>
    </w:p>
    <w:p w14:paraId="4090327D" w14:textId="7463C686" w:rsidR="0099780D" w:rsidRDefault="00051289" w:rsidP="0099780D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Asymptomatic </w:t>
      </w:r>
      <w:r w:rsidR="0099780D">
        <w:rPr>
          <w:rFonts w:ascii="Arial" w:hAnsi="Arial" w:cs="Arial"/>
          <w:sz w:val="22"/>
          <w:szCs w:val="22"/>
        </w:rPr>
        <w:t xml:space="preserve">Mild intoxication (&lt;45ug/dL): removal of exposure, whole bowel irrigation if </w:t>
      </w:r>
      <w:proofErr w:type="spellStart"/>
      <w:r w:rsidR="0099780D">
        <w:rPr>
          <w:rFonts w:ascii="Arial" w:hAnsi="Arial" w:cs="Arial"/>
          <w:sz w:val="22"/>
          <w:szCs w:val="22"/>
        </w:rPr>
        <w:t>intraintestinal</w:t>
      </w:r>
      <w:proofErr w:type="spellEnd"/>
      <w:r w:rsidR="0099780D">
        <w:rPr>
          <w:rFonts w:ascii="Arial" w:hAnsi="Arial" w:cs="Arial"/>
          <w:sz w:val="22"/>
          <w:szCs w:val="22"/>
        </w:rPr>
        <w:t xml:space="preserve"> lead found on </w:t>
      </w:r>
      <w:proofErr w:type="spellStart"/>
      <w:r w:rsidR="0099780D">
        <w:rPr>
          <w:rFonts w:ascii="Arial" w:hAnsi="Arial" w:cs="Arial"/>
          <w:sz w:val="22"/>
          <w:szCs w:val="22"/>
        </w:rPr>
        <w:t>xray</w:t>
      </w:r>
      <w:proofErr w:type="spellEnd"/>
      <w:r w:rsidR="0099780D">
        <w:rPr>
          <w:rFonts w:ascii="Arial" w:hAnsi="Arial" w:cs="Arial"/>
          <w:sz w:val="22"/>
          <w:szCs w:val="22"/>
        </w:rPr>
        <w:t>, repeat testing in 1-12 weeks (depending on level)</w:t>
      </w:r>
    </w:p>
    <w:p w14:paraId="4CBC4724" w14:textId="68C8F540" w:rsidR="00ED517A" w:rsidRDefault="00051289" w:rsidP="0099780D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Asymptomatic </w:t>
      </w:r>
      <w:r w:rsidR="00ED517A">
        <w:rPr>
          <w:rFonts w:ascii="Arial" w:hAnsi="Arial" w:cs="Arial"/>
          <w:sz w:val="22"/>
          <w:szCs w:val="22"/>
        </w:rPr>
        <w:t xml:space="preserve">Moderate intoxication (45-69ug/dL): above, plus oral </w:t>
      </w:r>
      <w:proofErr w:type="spellStart"/>
      <w:r w:rsidR="00ED517A">
        <w:rPr>
          <w:rFonts w:ascii="Arial" w:hAnsi="Arial" w:cs="Arial"/>
          <w:sz w:val="22"/>
          <w:szCs w:val="22"/>
        </w:rPr>
        <w:t>succimer</w:t>
      </w:r>
      <w:proofErr w:type="spellEnd"/>
      <w:r w:rsidR="00ED517A">
        <w:rPr>
          <w:rFonts w:ascii="Arial" w:hAnsi="Arial" w:cs="Arial"/>
          <w:sz w:val="22"/>
          <w:szCs w:val="22"/>
        </w:rPr>
        <w:t xml:space="preserve"> chelation (admit to hospital and ensure removal of exposure). </w:t>
      </w:r>
    </w:p>
    <w:p w14:paraId="030350EC" w14:textId="00757E3B" w:rsidR="00051289" w:rsidRDefault="00051289" w:rsidP="0099780D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Asymptomatic Severe intoxication: (</w:t>
      </w:r>
      <w:r w:rsidRPr="00051289">
        <w:rPr>
          <w:rFonts w:ascii="Arial" w:hAnsi="Arial" w:cs="Arial"/>
          <w:sz w:val="22"/>
          <w:szCs w:val="22"/>
          <w:u w:val="single"/>
        </w:rPr>
        <w:t>&gt;</w:t>
      </w:r>
      <w:r>
        <w:rPr>
          <w:rFonts w:ascii="Arial" w:hAnsi="Arial" w:cs="Arial"/>
          <w:sz w:val="22"/>
          <w:szCs w:val="22"/>
        </w:rPr>
        <w:t xml:space="preserve">70ug/dL): above, plus calcium disodium edetate started 48 hours after </w:t>
      </w:r>
      <w:proofErr w:type="spellStart"/>
      <w:r>
        <w:rPr>
          <w:rFonts w:ascii="Arial" w:hAnsi="Arial" w:cs="Arial"/>
          <w:sz w:val="22"/>
          <w:szCs w:val="22"/>
        </w:rPr>
        <w:t>succimer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256E4953" w14:textId="38A35C9D" w:rsidR="00051289" w:rsidRDefault="00051289" w:rsidP="0099780D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Symptomatic</w:t>
      </w:r>
      <w:r>
        <w:rPr>
          <w:rFonts w:ascii="Arial" w:hAnsi="Arial" w:cs="Arial"/>
          <w:sz w:val="22"/>
          <w:szCs w:val="22"/>
        </w:rPr>
        <w:t xml:space="preserve"> patients should receive BAL and, once urine output is demonstrated, calcium disodium edetate. </w:t>
      </w:r>
    </w:p>
    <w:p w14:paraId="6E24BF9C" w14:textId="41DE93E4" w:rsidR="00E50AD2" w:rsidRDefault="00E50AD2" w:rsidP="00E50AD2">
      <w:pPr>
        <w:pStyle w:val="ListParagraph"/>
        <w:numPr>
          <w:ilvl w:val="4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patients also require management of encephalopathy, which may include CNS imaging and even LP (</w:t>
      </w:r>
      <w:r>
        <w:rPr>
          <w:rFonts w:ascii="Arial" w:hAnsi="Arial" w:cs="Arial"/>
          <w:b/>
          <w:bCs/>
          <w:sz w:val="22"/>
          <w:szCs w:val="22"/>
        </w:rPr>
        <w:t>Note: lead poisoning can elevate ICP</w:t>
      </w:r>
      <w:r>
        <w:rPr>
          <w:rFonts w:ascii="Arial" w:hAnsi="Arial" w:cs="Arial"/>
          <w:sz w:val="22"/>
          <w:szCs w:val="22"/>
        </w:rPr>
        <w:t xml:space="preserve">. Try to avoid </w:t>
      </w:r>
      <w:proofErr w:type="gramStart"/>
      <w:r>
        <w:rPr>
          <w:rFonts w:ascii="Arial" w:hAnsi="Arial" w:cs="Arial"/>
          <w:sz w:val="22"/>
          <w:szCs w:val="22"/>
        </w:rPr>
        <w:t>LP, and</w:t>
      </w:r>
      <w:proofErr w:type="gramEnd"/>
      <w:r>
        <w:rPr>
          <w:rFonts w:ascii="Arial" w:hAnsi="Arial" w:cs="Arial"/>
          <w:sz w:val="22"/>
          <w:szCs w:val="22"/>
        </w:rPr>
        <w:t xml:space="preserve"> take small volume if performed). </w:t>
      </w:r>
    </w:p>
    <w:p w14:paraId="12DC5FAF" w14:textId="5E063D36" w:rsidR="00E50AD2" w:rsidRDefault="00E50AD2" w:rsidP="00E50AD2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</w:t>
      </w:r>
      <w:r>
        <w:rPr>
          <w:rFonts w:ascii="Arial" w:hAnsi="Arial" w:cs="Arial"/>
          <w:b/>
          <w:bCs/>
          <w:sz w:val="22"/>
          <w:szCs w:val="22"/>
        </w:rPr>
        <w:t>essential</w:t>
      </w:r>
      <w:r>
        <w:rPr>
          <w:rFonts w:ascii="Arial" w:hAnsi="Arial" w:cs="Arial"/>
          <w:sz w:val="22"/>
          <w:szCs w:val="22"/>
        </w:rPr>
        <w:t xml:space="preserve"> that the child be discharged to a lead-free environment, and ongoing lead monitoring is arranged. </w:t>
      </w:r>
    </w:p>
    <w:p w14:paraId="30673BA7" w14:textId="0C92664E" w:rsidR="00805737" w:rsidRDefault="00801DC0" w:rsidP="00805737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Alcohols (</w:t>
      </w:r>
      <w:r w:rsidR="00805737">
        <w:rPr>
          <w:rFonts w:ascii="Arial" w:hAnsi="Arial" w:cs="Arial"/>
          <w:sz w:val="22"/>
          <w:szCs w:val="22"/>
        </w:rPr>
        <w:t>Ethanol / Methanol / Ethylene Glycol</w:t>
      </w:r>
      <w:r>
        <w:rPr>
          <w:rFonts w:ascii="Arial" w:hAnsi="Arial" w:cs="Arial"/>
          <w:sz w:val="22"/>
          <w:szCs w:val="22"/>
        </w:rPr>
        <w:t>)</w:t>
      </w:r>
    </w:p>
    <w:p w14:paraId="023EC26E" w14:textId="2871C03C" w:rsidR="00805737" w:rsidRDefault="00805737" w:rsidP="00805737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Presentation: intoxication, nausea/vomiting, vision changes (methanol), hypoglycemia (ethanol), renal failure (ethylene glycol).</w:t>
      </w:r>
    </w:p>
    <w:p w14:paraId="2EE88953" w14:textId="396E6ACA" w:rsidR="00805737" w:rsidRDefault="00805737" w:rsidP="00805737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Workup: blood levels, blood gas and lactate (high anion gap without lactate without elevated lactate or ketonuria), blood sugar. </w:t>
      </w:r>
    </w:p>
    <w:p w14:paraId="5C039322" w14:textId="488DD7CC" w:rsidR="00805737" w:rsidRDefault="00805737" w:rsidP="00805737">
      <w:pPr>
        <w:pStyle w:val="ListParagraph"/>
        <w:numPr>
          <w:ilvl w:val="2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Treatment</w:t>
      </w:r>
    </w:p>
    <w:p w14:paraId="049C99D6" w14:textId="52A36E87" w:rsidR="00805737" w:rsidRDefault="00805737" w:rsidP="00805737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Ethanol intoxication: supportive care, dextrose (with concurrent administration of thiamine if comatose)</w:t>
      </w:r>
    </w:p>
    <w:p w14:paraId="605DCA35" w14:textId="77777777" w:rsidR="00805737" w:rsidRDefault="00805737" w:rsidP="00805737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Methanol: </w:t>
      </w:r>
    </w:p>
    <w:p w14:paraId="6E262D2D" w14:textId="0C19878E" w:rsidR="00A61DC8" w:rsidRPr="00A61DC8" w:rsidRDefault="00A61DC8" w:rsidP="00A61DC8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DF6C89">
        <w:rPr>
          <w:rFonts w:ascii="Arial" w:hAnsi="Arial" w:cs="Arial"/>
          <w:b/>
          <w:bCs/>
          <w:sz w:val="22"/>
          <w:szCs w:val="22"/>
        </w:rPr>
        <w:t>Immediate hemodialysis if acidotic</w:t>
      </w:r>
      <w:r>
        <w:rPr>
          <w:rFonts w:ascii="Arial" w:hAnsi="Arial" w:cs="Arial"/>
          <w:sz w:val="22"/>
          <w:szCs w:val="22"/>
        </w:rPr>
        <w:t xml:space="preserve">, end organ damage, and/or serum level &gt; </w:t>
      </w:r>
      <w:r w:rsidRPr="00A61DC8">
        <w:rPr>
          <w:rFonts w:ascii="Arial" w:hAnsi="Arial" w:cs="Arial"/>
          <w:sz w:val="22"/>
          <w:szCs w:val="22"/>
        </w:rPr>
        <w:t>50 mg/dL</w:t>
      </w:r>
      <w:r>
        <w:rPr>
          <w:rFonts w:ascii="Arial" w:hAnsi="Arial" w:cs="Arial"/>
          <w:sz w:val="22"/>
          <w:szCs w:val="22"/>
        </w:rPr>
        <w:t xml:space="preserve"> with pH </w:t>
      </w:r>
      <w:r>
        <w:rPr>
          <w:rFonts w:ascii="Arial" w:hAnsi="Arial" w:cs="Arial"/>
          <w:sz w:val="22"/>
          <w:szCs w:val="22"/>
          <w:u w:val="single"/>
        </w:rPr>
        <w:t>&lt;</w:t>
      </w:r>
      <w:r>
        <w:rPr>
          <w:rFonts w:ascii="Arial" w:hAnsi="Arial" w:cs="Arial"/>
          <w:sz w:val="22"/>
          <w:szCs w:val="22"/>
        </w:rPr>
        <w:t xml:space="preserve"> 7.3</w:t>
      </w:r>
    </w:p>
    <w:p w14:paraId="03D1D83E" w14:textId="72B8316B" w:rsidR="00805737" w:rsidRPr="00A61DC8" w:rsidRDefault="00A61DC8" w:rsidP="00A61DC8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</w:t>
      </w:r>
      <w:r w:rsidR="00805737">
        <w:rPr>
          <w:rFonts w:ascii="Arial" w:hAnsi="Arial" w:cs="Arial"/>
          <w:sz w:val="22"/>
          <w:szCs w:val="22"/>
        </w:rPr>
        <w:t>icarb</w:t>
      </w:r>
      <w:r>
        <w:rPr>
          <w:rFonts w:ascii="Arial" w:hAnsi="Arial" w:cs="Arial"/>
          <w:sz w:val="22"/>
          <w:szCs w:val="22"/>
        </w:rPr>
        <w:t xml:space="preserve"> (1-2 </w:t>
      </w:r>
      <w:proofErr w:type="spellStart"/>
      <w:r>
        <w:rPr>
          <w:rFonts w:ascii="Arial" w:hAnsi="Arial" w:cs="Arial"/>
          <w:sz w:val="22"/>
          <w:szCs w:val="22"/>
        </w:rPr>
        <w:t>meq</w:t>
      </w:r>
      <w:proofErr w:type="spellEnd"/>
      <w:r>
        <w:rPr>
          <w:rFonts w:ascii="Arial" w:hAnsi="Arial" w:cs="Arial"/>
          <w:sz w:val="22"/>
          <w:szCs w:val="22"/>
        </w:rPr>
        <w:t xml:space="preserve">/kg load, then </w:t>
      </w:r>
      <w:r w:rsidRPr="00A61DC8">
        <w:rPr>
          <w:rFonts w:ascii="Arial" w:hAnsi="Arial" w:cs="Arial"/>
          <w:sz w:val="22"/>
          <w:szCs w:val="22"/>
        </w:rPr>
        <w:t xml:space="preserve">133 </w:t>
      </w:r>
      <w:proofErr w:type="spellStart"/>
      <w:r w:rsidRPr="00A61DC8">
        <w:rPr>
          <w:rFonts w:ascii="Arial" w:hAnsi="Arial" w:cs="Arial"/>
          <w:sz w:val="22"/>
          <w:szCs w:val="22"/>
        </w:rPr>
        <w:t>meq</w:t>
      </w:r>
      <w:proofErr w:type="spellEnd"/>
      <w:r w:rsidRPr="00A61DC8">
        <w:rPr>
          <w:rFonts w:ascii="Arial" w:hAnsi="Arial" w:cs="Arial"/>
          <w:sz w:val="22"/>
          <w:szCs w:val="22"/>
        </w:rPr>
        <w:t xml:space="preserve"> of sodium bicarbonate </w:t>
      </w:r>
      <w:r>
        <w:rPr>
          <w:rFonts w:ascii="Arial" w:hAnsi="Arial" w:cs="Arial"/>
          <w:sz w:val="22"/>
          <w:szCs w:val="22"/>
        </w:rPr>
        <w:t xml:space="preserve">per </w:t>
      </w:r>
      <w:r w:rsidRPr="00A61DC8">
        <w:rPr>
          <w:rFonts w:ascii="Arial" w:hAnsi="Arial" w:cs="Arial"/>
          <w:sz w:val="22"/>
          <w:szCs w:val="22"/>
        </w:rPr>
        <w:t>liter of D5W</w:t>
      </w:r>
      <w:r>
        <w:rPr>
          <w:rFonts w:ascii="Arial" w:hAnsi="Arial" w:cs="Arial"/>
          <w:sz w:val="22"/>
          <w:szCs w:val="22"/>
        </w:rPr>
        <w:t xml:space="preserve"> at </w:t>
      </w:r>
      <w:r w:rsidRPr="00A61DC8">
        <w:rPr>
          <w:rFonts w:ascii="Arial" w:hAnsi="Arial" w:cs="Arial"/>
          <w:sz w:val="22"/>
          <w:szCs w:val="22"/>
        </w:rPr>
        <w:t>1-2x maintenance rate</w:t>
      </w:r>
      <w:r>
        <w:rPr>
          <w:rFonts w:ascii="Arial" w:hAnsi="Arial" w:cs="Arial"/>
          <w:sz w:val="22"/>
          <w:szCs w:val="22"/>
        </w:rPr>
        <w:t>)</w:t>
      </w:r>
    </w:p>
    <w:p w14:paraId="168AA10E" w14:textId="77777777" w:rsidR="00805737" w:rsidRDefault="00805737" w:rsidP="00805737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Fomepizole (</w:t>
      </w:r>
      <w:r w:rsidRPr="00805737">
        <w:rPr>
          <w:rFonts w:ascii="Arial" w:hAnsi="Arial" w:cs="Arial"/>
          <w:sz w:val="22"/>
          <w:szCs w:val="22"/>
        </w:rPr>
        <w:t>15 mg/kg IV, followed by 10 mg/kg every 12 hours</w:t>
      </w:r>
      <w:r>
        <w:rPr>
          <w:rFonts w:ascii="Arial" w:hAnsi="Arial" w:cs="Arial"/>
          <w:sz w:val="22"/>
          <w:szCs w:val="22"/>
        </w:rPr>
        <w:t>)</w:t>
      </w:r>
    </w:p>
    <w:p w14:paraId="623C5F52" w14:textId="77777777" w:rsidR="00805737" w:rsidRDefault="00805737" w:rsidP="00805737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805737">
        <w:rPr>
          <w:rFonts w:ascii="Arial" w:hAnsi="Arial" w:cs="Arial"/>
          <w:sz w:val="22"/>
          <w:szCs w:val="22"/>
        </w:rPr>
        <w:t xml:space="preserve">olate </w:t>
      </w:r>
    </w:p>
    <w:p w14:paraId="18BF87CA" w14:textId="28FB9289" w:rsidR="00805737" w:rsidRPr="00805737" w:rsidRDefault="00805737" w:rsidP="00805737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805737">
        <w:rPr>
          <w:rFonts w:ascii="Arial" w:hAnsi="Arial" w:cs="Arial"/>
          <w:sz w:val="22"/>
          <w:szCs w:val="22"/>
        </w:rPr>
        <w:t>arly treatment is essential to prevent irreversible vision loss and CNS injury from formation of formic acid.</w:t>
      </w:r>
    </w:p>
    <w:p w14:paraId="0EAC1FDC" w14:textId="2C3B59B3" w:rsidR="00805737" w:rsidRDefault="00805737" w:rsidP="00805737">
      <w:pPr>
        <w:pStyle w:val="ListParagraph"/>
        <w:numPr>
          <w:ilvl w:val="3"/>
          <w:numId w:val="2"/>
        </w:numPr>
        <w:spacing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Ethylene glycol: same as methanol, except give plus </w:t>
      </w:r>
      <w:proofErr w:type="spellStart"/>
      <w:r>
        <w:rPr>
          <w:rFonts w:ascii="Arial" w:hAnsi="Arial" w:cs="Arial"/>
          <w:sz w:val="22"/>
          <w:szCs w:val="22"/>
        </w:rPr>
        <w:t>thaimin</w:t>
      </w:r>
      <w:proofErr w:type="spellEnd"/>
      <w:r>
        <w:rPr>
          <w:rFonts w:ascii="Arial" w:hAnsi="Arial" w:cs="Arial"/>
          <w:sz w:val="22"/>
          <w:szCs w:val="22"/>
        </w:rPr>
        <w:t xml:space="preserve"> and pyridoxine instead of folate (shunts metabolism to </w:t>
      </w:r>
      <w:proofErr w:type="gramStart"/>
      <w:r>
        <w:rPr>
          <w:rFonts w:ascii="Arial" w:hAnsi="Arial" w:cs="Arial"/>
          <w:sz w:val="22"/>
          <w:szCs w:val="22"/>
        </w:rPr>
        <w:t>less</w:t>
      </w:r>
      <w:proofErr w:type="gramEnd"/>
      <w:r>
        <w:rPr>
          <w:rFonts w:ascii="Arial" w:hAnsi="Arial" w:cs="Arial"/>
          <w:sz w:val="22"/>
          <w:szCs w:val="22"/>
        </w:rPr>
        <w:t xml:space="preserve"> toxic metabolites). </w:t>
      </w:r>
    </w:p>
    <w:p w14:paraId="4EBDEFB3" w14:textId="42769A99" w:rsidR="00A61DC8" w:rsidRDefault="009234EC" w:rsidP="00A61DC8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Again, </w:t>
      </w:r>
      <w:r w:rsidRPr="00DF6C89">
        <w:rPr>
          <w:rFonts w:ascii="Arial" w:hAnsi="Arial" w:cs="Arial"/>
          <w:b/>
          <w:bCs/>
          <w:sz w:val="22"/>
          <w:szCs w:val="22"/>
        </w:rPr>
        <w:t>i</w:t>
      </w:r>
      <w:r w:rsidR="00A61DC8" w:rsidRPr="00DF6C89">
        <w:rPr>
          <w:rFonts w:ascii="Arial" w:hAnsi="Arial" w:cs="Arial"/>
          <w:b/>
          <w:bCs/>
          <w:sz w:val="22"/>
          <w:szCs w:val="22"/>
        </w:rPr>
        <w:t>mmediate hemodialysis if acidotic</w:t>
      </w:r>
      <w:r w:rsidR="00A61DC8">
        <w:rPr>
          <w:rFonts w:ascii="Arial" w:hAnsi="Arial" w:cs="Arial"/>
          <w:sz w:val="22"/>
          <w:szCs w:val="22"/>
        </w:rPr>
        <w:t xml:space="preserve">, end organ damage, and/or serum levels &gt; </w:t>
      </w:r>
      <w:r w:rsidR="00A61DC8" w:rsidRPr="00A61DC8">
        <w:rPr>
          <w:rFonts w:ascii="Arial" w:hAnsi="Arial" w:cs="Arial"/>
          <w:sz w:val="22"/>
          <w:szCs w:val="22"/>
        </w:rPr>
        <w:t>8.1 mmol/L</w:t>
      </w:r>
      <w:r w:rsidR="00A61DC8">
        <w:rPr>
          <w:rFonts w:ascii="Arial" w:hAnsi="Arial" w:cs="Arial"/>
          <w:sz w:val="22"/>
          <w:szCs w:val="22"/>
        </w:rPr>
        <w:t xml:space="preserve"> with pH </w:t>
      </w:r>
      <w:r w:rsidR="00A61DC8">
        <w:rPr>
          <w:rFonts w:ascii="Arial" w:hAnsi="Arial" w:cs="Arial"/>
          <w:sz w:val="22"/>
          <w:szCs w:val="22"/>
          <w:u w:val="single"/>
        </w:rPr>
        <w:t>&lt;</w:t>
      </w:r>
      <w:r w:rsidR="00A61DC8">
        <w:rPr>
          <w:rFonts w:ascii="Arial" w:hAnsi="Arial" w:cs="Arial"/>
          <w:sz w:val="22"/>
          <w:szCs w:val="22"/>
        </w:rPr>
        <w:t xml:space="preserve"> 7.3</w:t>
      </w:r>
    </w:p>
    <w:p w14:paraId="5B15BC0B" w14:textId="57790AED" w:rsidR="00EB1BB6" w:rsidRDefault="00EB1BB6" w:rsidP="00EB1BB6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Selective serotonin reuptake inhibitors</w:t>
      </w:r>
      <w:r w:rsidR="003C1A78">
        <w:rPr>
          <w:rFonts w:ascii="Arial" w:hAnsi="Arial" w:cs="Arial"/>
          <w:sz w:val="22"/>
          <w:szCs w:val="22"/>
        </w:rPr>
        <w:t xml:space="preserve"> (Serotonin syndrome)</w:t>
      </w:r>
    </w:p>
    <w:p w14:paraId="570583C8" w14:textId="5445A7F9" w:rsidR="00EB1BB6" w:rsidRDefault="00EB1BB6" w:rsidP="00EB1BB6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Presentation: Tremor, </w:t>
      </w:r>
      <w:r w:rsidR="00AA6744">
        <w:rPr>
          <w:rFonts w:ascii="Arial" w:hAnsi="Arial" w:cs="Arial"/>
          <w:sz w:val="22"/>
          <w:szCs w:val="22"/>
        </w:rPr>
        <w:t>hyper-</w:t>
      </w:r>
      <w:proofErr w:type="spellStart"/>
      <w:r w:rsidR="00AA6744">
        <w:rPr>
          <w:rFonts w:ascii="Arial" w:hAnsi="Arial" w:cs="Arial"/>
          <w:sz w:val="22"/>
          <w:szCs w:val="22"/>
        </w:rPr>
        <w:t>reflexia</w:t>
      </w:r>
      <w:proofErr w:type="spellEnd"/>
      <w:r w:rsidR="00AA674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clonus, diaphoresis, mydriasis, continuous horizontal eye movements</w:t>
      </w:r>
      <w:r w:rsidR="00AA6744">
        <w:rPr>
          <w:rFonts w:ascii="Arial" w:hAnsi="Arial" w:cs="Arial"/>
          <w:sz w:val="22"/>
          <w:szCs w:val="22"/>
        </w:rPr>
        <w:t xml:space="preserve">, agitation, hyperthermia, autonomic instability, seizures. </w:t>
      </w:r>
    </w:p>
    <w:p w14:paraId="54DE212B" w14:textId="01B3DF58" w:rsidR="00AA6744" w:rsidRDefault="00AA6744" w:rsidP="00EB1BB6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Workup: CK, screen for co-ingestions, standard workup for altered mental status if indicated.</w:t>
      </w:r>
    </w:p>
    <w:p w14:paraId="6C8BDA87" w14:textId="7960B7AA" w:rsidR="00AA6744" w:rsidRDefault="00AA6744" w:rsidP="00EB1BB6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Treatment:</w:t>
      </w:r>
    </w:p>
    <w:p w14:paraId="0E72F680" w14:textId="21B032B0" w:rsidR="00AA6744" w:rsidRDefault="00AA6744" w:rsidP="00AA6744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Supportive care focused on normalization of vital signs</w:t>
      </w:r>
    </w:p>
    <w:p w14:paraId="65AFE621" w14:textId="7EC8EDBB" w:rsidR="00AA6744" w:rsidRPr="00AA6744" w:rsidRDefault="00AA6744" w:rsidP="00AA6744">
      <w:pPr>
        <w:pStyle w:val="ListParagraph"/>
        <w:numPr>
          <w:ilvl w:val="4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Autonomic instability can be </w:t>
      </w:r>
      <w:proofErr w:type="gramStart"/>
      <w:r>
        <w:rPr>
          <w:rFonts w:ascii="Arial" w:hAnsi="Arial" w:cs="Arial"/>
          <w:sz w:val="22"/>
          <w:szCs w:val="22"/>
        </w:rPr>
        <w:t>lead</w:t>
      </w:r>
      <w:proofErr w:type="gramEnd"/>
      <w:r>
        <w:rPr>
          <w:rFonts w:ascii="Arial" w:hAnsi="Arial" w:cs="Arial"/>
          <w:sz w:val="22"/>
          <w:szCs w:val="22"/>
        </w:rPr>
        <w:t xml:space="preserve"> to rapidly changing vital signs and thus </w:t>
      </w:r>
      <w:r w:rsidRPr="00AA6744">
        <w:rPr>
          <w:rFonts w:ascii="Arial" w:hAnsi="Arial" w:cs="Arial"/>
          <w:sz w:val="22"/>
          <w:szCs w:val="22"/>
        </w:rPr>
        <w:t>short acting agents should be used</w:t>
      </w:r>
    </w:p>
    <w:p w14:paraId="15474921" w14:textId="30AD5369" w:rsidR="00AA6744" w:rsidRDefault="00AA6744" w:rsidP="00AA6744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Benzodiazepines for agitation</w:t>
      </w:r>
    </w:p>
    <w:p w14:paraId="0465BAF7" w14:textId="5AC68B2E" w:rsidR="00AA6744" w:rsidRDefault="00AA6744" w:rsidP="00AA6744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Cyproheptidine</w:t>
      </w:r>
      <w:proofErr w:type="spellEnd"/>
      <w:r>
        <w:rPr>
          <w:rFonts w:ascii="Arial" w:hAnsi="Arial" w:cs="Arial"/>
          <w:sz w:val="22"/>
          <w:szCs w:val="22"/>
        </w:rPr>
        <w:t xml:space="preserve"> for severe symptoms</w:t>
      </w:r>
    </w:p>
    <w:p w14:paraId="0DD6560E" w14:textId="673CA466" w:rsidR="00AA6744" w:rsidRPr="00A61DC8" w:rsidRDefault="00AA6744" w:rsidP="00AA6744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AA6744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severe symptoms, including hyperthermia and/or marked agitation or significant vital sign abnormalities are indications for ICU management.</w:t>
      </w:r>
    </w:p>
    <w:p w14:paraId="7BED03F6" w14:textId="77777777" w:rsidR="00A61DC8" w:rsidRPr="009234EC" w:rsidRDefault="00A61DC8" w:rsidP="009234EC">
      <w:pPr>
        <w:spacing w:after="120"/>
        <w:rPr>
          <w:rFonts w:ascii="Arial" w:hAnsi="Arial" w:cs="Arial"/>
          <w:sz w:val="22"/>
          <w:szCs w:val="22"/>
        </w:rPr>
      </w:pPr>
    </w:p>
    <w:sectPr w:rsidR="00A61DC8" w:rsidRPr="009234EC" w:rsidSect="0016400B">
      <w:pgSz w:w="12240" w:h="15840"/>
      <w:pgMar w:top="711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1BE"/>
    <w:multiLevelType w:val="hybridMultilevel"/>
    <w:tmpl w:val="DF1EFBC2"/>
    <w:lvl w:ilvl="0" w:tplc="910CE3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8C5223"/>
    <w:multiLevelType w:val="hybridMultilevel"/>
    <w:tmpl w:val="AF609144"/>
    <w:lvl w:ilvl="0" w:tplc="07D27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32"/>
    <w:rsid w:val="00000C16"/>
    <w:rsid w:val="00051289"/>
    <w:rsid w:val="000B7962"/>
    <w:rsid w:val="000E3181"/>
    <w:rsid w:val="001146F3"/>
    <w:rsid w:val="0016400B"/>
    <w:rsid w:val="001867D5"/>
    <w:rsid w:val="001D2F14"/>
    <w:rsid w:val="002335E8"/>
    <w:rsid w:val="003C1A78"/>
    <w:rsid w:val="00453865"/>
    <w:rsid w:val="0057303D"/>
    <w:rsid w:val="005E0645"/>
    <w:rsid w:val="0060511F"/>
    <w:rsid w:val="006915E2"/>
    <w:rsid w:val="006C40FC"/>
    <w:rsid w:val="007179C4"/>
    <w:rsid w:val="00796961"/>
    <w:rsid w:val="007D36E9"/>
    <w:rsid w:val="007E6328"/>
    <w:rsid w:val="00801DC0"/>
    <w:rsid w:val="00805737"/>
    <w:rsid w:val="00877D72"/>
    <w:rsid w:val="009234EC"/>
    <w:rsid w:val="0094237D"/>
    <w:rsid w:val="009605F6"/>
    <w:rsid w:val="0098553E"/>
    <w:rsid w:val="0099780D"/>
    <w:rsid w:val="00A36D24"/>
    <w:rsid w:val="00A5311C"/>
    <w:rsid w:val="00A61DC8"/>
    <w:rsid w:val="00A83B75"/>
    <w:rsid w:val="00AA20E1"/>
    <w:rsid w:val="00AA6744"/>
    <w:rsid w:val="00AC6D7B"/>
    <w:rsid w:val="00AF2739"/>
    <w:rsid w:val="00B52B4A"/>
    <w:rsid w:val="00B66D98"/>
    <w:rsid w:val="00BD0836"/>
    <w:rsid w:val="00BE3029"/>
    <w:rsid w:val="00C40367"/>
    <w:rsid w:val="00CD4916"/>
    <w:rsid w:val="00D86D0B"/>
    <w:rsid w:val="00D917D0"/>
    <w:rsid w:val="00DD5A3C"/>
    <w:rsid w:val="00DE4C48"/>
    <w:rsid w:val="00DF0D32"/>
    <w:rsid w:val="00DF6C89"/>
    <w:rsid w:val="00E251F0"/>
    <w:rsid w:val="00E50AD2"/>
    <w:rsid w:val="00E61CB4"/>
    <w:rsid w:val="00EB1BB6"/>
    <w:rsid w:val="00ED517A"/>
    <w:rsid w:val="00ED556D"/>
    <w:rsid w:val="00F222DB"/>
    <w:rsid w:val="00F92232"/>
    <w:rsid w:val="00FA2F6A"/>
    <w:rsid w:val="00FA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8219"/>
  <w15:chartTrackingRefBased/>
  <w15:docId w15:val="{6A0C2EA1-651B-6A44-95D6-59056DFB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Kort</dc:creator>
  <cp:keywords/>
  <dc:description/>
  <cp:lastModifiedBy>Eric Kort</cp:lastModifiedBy>
  <cp:revision>2</cp:revision>
  <dcterms:created xsi:type="dcterms:W3CDTF">2021-05-11T18:27:00Z</dcterms:created>
  <dcterms:modified xsi:type="dcterms:W3CDTF">2021-05-11T18:27:00Z</dcterms:modified>
</cp:coreProperties>
</file>