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6"/>
        </w:rPr>
        <w:t>SwissADME Analysis Report</w:t>
      </w:r>
    </w:p>
    <w:p/>
    <w:p>
      <w:pPr>
        <w:jc w:val="center"/>
      </w:pPr>
      <w:r>
        <w:rPr>
          <w:color w:val="4A4A4A"/>
          <w:sz w:val="32"/>
        </w:rPr>
        <w:t>ADMET Profiling of REINVENT4 Top Candidates</w:t>
        <w:br/>
        <w:t>vs. Pazopanib (Reference)</w:t>
      </w:r>
    </w:p>
    <w:p/>
    <w:p/>
    <w:p>
      <w:pPr>
        <w:jc w:val="center"/>
      </w:pPr>
      <w:r>
        <w:rPr>
          <w:color w:val="666666"/>
          <w:sz w:val="24"/>
        </w:rPr>
        <w:t>Date: 2026-04-13</w:t>
        <w:br/>
        <w:t>Tool: SwissADME (SIB Swiss Institute of Bioinformatics)</w:t>
        <w:br/>
        <w:t>Target: WBP5 (Q9UHQ7) P_0 Pocket</w:t>
        <w:br/>
      </w:r>
    </w:p>
    <w:p>
      <w:r>
        <w:br w:type="page"/>
      </w:r>
    </w:p>
    <w:p>
      <w:pPr>
        <w:pStyle w:val="Heading1"/>
      </w:pPr>
      <w:r>
        <w:rPr>
          <w:color w:val="1B3A5C"/>
        </w:rPr>
        <w:t>1. Executive Summary</w:t>
      </w:r>
    </w:p>
    <w:p>
      <w:pPr>
        <w:spacing w:after="160"/>
      </w:pPr>
      <w:r>
        <w:rPr>
          <w:rFonts w:ascii="Arial" w:hAnsi="Arial"/>
          <w:sz w:val="22"/>
        </w:rPr>
        <w:t>SwissADME analysis was performed on 5 REINVENT4 RL-generated candidate molecules and Pazopanib (reference compound) to evaluate their drug-likeness, pharmacokinetic properties, and medicinal chemistry profiles.</w:t>
      </w:r>
    </w:p>
    <w:p>
      <w:pPr>
        <w:spacing w:after="160"/>
      </w:pPr>
      <w:r>
        <w:rPr>
          <w:rFonts w:ascii="Arial" w:hAnsi="Arial"/>
          <w:b/>
          <w:sz w:val="22"/>
        </w:rPr>
        <w:t>Key Finding: All 5 REINVENT4 candidates demonstrate superior ADMET profiles compared to Pazopanib. Most notably, all candidates show High GI absorption (vs. Low for Pazopanib), better solubility, and fewer drug-likeness violations. Candidates #3 and #5 are identified as the most promising leads.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Molecule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Drug-likeness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ADMET Profile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Overall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#1 (MW 335)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980B9"/>
                <w:sz w:val="18"/>
              </w:rPr>
              <w:t>Recommended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#2 (MW 353)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Good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980B9"/>
                <w:sz w:val="18"/>
              </w:rPr>
              <w:t>Recommended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#3 (MW 343)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7AE60"/>
                <w:sz w:val="18"/>
              </w:rPr>
              <w:t>Top Pick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#4 (MW 355)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Moderate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39C12"/>
                <w:sz w:val="18"/>
              </w:rPr>
              <w:t>Caution (CYP)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#5 (MW 349)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Excellent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7AE60"/>
                <w:sz w:val="18"/>
              </w:rPr>
              <w:t>Top Pick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Pazopanib (472)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PASS*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Poor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5A5A6"/>
                <w:sz w:val="18"/>
              </w:rPr>
              <w:t>Reference only</w:t>
            </w:r>
          </w:p>
        </w:tc>
      </w:tr>
    </w:tbl>
    <w:p/>
    <w:p>
      <w:pPr>
        <w:pStyle w:val="Heading1"/>
      </w:pPr>
      <w:r>
        <w:rPr>
          <w:color w:val="1B3A5C"/>
        </w:rPr>
        <w:t>2. Physicochemical Properties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Molecule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MW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LogP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HBA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HBD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TPSA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RotBonds</w:t>
            </w:r>
          </w:p>
        </w:tc>
        <w:tc>
          <w:tcPr>
            <w:tcW w:type="dxa" w:w="117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Frac Csp3</w:t>
            </w:r>
          </w:p>
        </w:tc>
      </w:tr>
      <w:tr>
        <w:tc>
          <w:tcPr>
            <w:tcW w:type="dxa" w:w="1176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#1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335.42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1.86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99.44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0.31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353.42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1.74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87.22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0.37</w:t>
            </w:r>
          </w:p>
        </w:tc>
      </w:tr>
      <w:tr>
        <w:tc>
          <w:tcPr>
            <w:tcW w:type="dxa" w:w="1176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#3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343.40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1.39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101.74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0.18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355.39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2.98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90.39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0.32</w:t>
            </w:r>
          </w:p>
        </w:tc>
      </w:tr>
      <w:tr>
        <w:tc>
          <w:tcPr>
            <w:tcW w:type="dxa" w:w="1176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#5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349.40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1.16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91.24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176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0.31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Pazopanib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472.58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2.35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166.93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0.29</w:t>
            </w:r>
          </w:p>
        </w:tc>
      </w:tr>
    </w:tbl>
    <w:p/>
    <w:p>
      <w:pPr>
        <w:spacing w:after="160"/>
      </w:pPr>
      <w:r>
        <w:rPr>
          <w:rFonts w:ascii="Arial" w:hAnsi="Arial"/>
          <w:sz w:val="22"/>
        </w:rPr>
        <w:t>All REINVENT4 candidates have lower molecular weight (335-355 Da) compared to Pazopanib (473 Da), lower TPSA (87-102 vs 167), and comparable LogP values. These properties favor oral bioavailability. Notably, Pazopanib's TPSA of 167 exceeds the 140 threshold, which explains its low GI absorption.</w:t>
      </w:r>
    </w:p>
    <w:p>
      <w:r>
        <w:br w:type="page"/>
      </w:r>
    </w:p>
    <w:p>
      <w:pPr>
        <w:pStyle w:val="Heading1"/>
      </w:pPr>
      <w:r>
        <w:rPr>
          <w:color w:val="1B3A5C"/>
        </w:rPr>
        <w:t>3. Drug-likeness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Molecule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Lipinski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Ghose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Veber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Egan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Muegge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Bioavail.</w:t>
            </w:r>
          </w:p>
        </w:tc>
      </w:tr>
      <w:tr>
        <w:tc>
          <w:tcPr>
            <w:tcW w:type="dxa" w:w="1344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#1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 (0)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0.55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#2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 (0)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0.55</w:t>
            </w:r>
          </w:p>
        </w:tc>
      </w:tr>
      <w:tr>
        <w:tc>
          <w:tcPr>
            <w:tcW w:type="dxa" w:w="1344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#3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 (0)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0.55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#4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 (0)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0.55</w:t>
            </w:r>
          </w:p>
        </w:tc>
      </w:tr>
      <w:tr>
        <w:tc>
          <w:tcPr>
            <w:tcW w:type="dxa" w:w="1344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#5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 (0)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0.55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Pazopanib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 (0)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No*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No*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No*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0.55</w:t>
            </w:r>
          </w:p>
        </w:tc>
      </w:tr>
    </w:tbl>
    <w:p/>
    <w:p>
      <w:pPr>
        <w:spacing w:after="160"/>
      </w:pPr>
      <w:r>
        <w:rPr>
          <w:rFonts w:ascii="Arial" w:hAnsi="Arial"/>
          <w:sz w:val="22"/>
        </w:rPr>
        <w:t>All 5 REINVENT4 candidates pass ALL drug-likeness filters (Lipinski, Ghose, Veber, Egan, Muegge) with zero violations. Pazopanib fails Veber (TPSA&gt;140), Egan (TPSA&gt;131.6), and Muegge (TPSA&gt;150) due to its high polar surface area. This gives the REINVENT4 candidates a clear advantage in predicted oral bioavailability.</w:t>
      </w:r>
    </w:p>
    <w:p>
      <w:pPr>
        <w:spacing w:after="240"/>
      </w:pPr>
      <w:r>
        <w:rPr>
          <w:rFonts w:ascii="Arial" w:hAnsi="Arial"/>
          <w:color w:val="999999"/>
          <w:sz w:val="20"/>
        </w:rPr>
        <w:t>*Pazopanib violations: TPSA = 166.93 (exceeds Veber 140, Egan 131.6, Muegge 150 thresholds)</w:t>
      </w:r>
    </w:p>
    <w:p>
      <w:pPr>
        <w:pStyle w:val="Heading1"/>
      </w:pPr>
      <w:r>
        <w:rPr>
          <w:color w:val="1B3A5C"/>
        </w:rPr>
        <w:t>4. Pharmacokinetics</w:t>
      </w:r>
    </w:p>
    <w:p>
      <w:pPr>
        <w:pStyle w:val="Heading2"/>
      </w:pPr>
      <w:r>
        <w:rPr>
          <w:color w:val="1B3A5C"/>
        </w:rPr>
        <w:t>4.1 Absorption &amp; Permeation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Molecule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GI Absorption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BBB Permeant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P-gp Substrate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Solubility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High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Soluble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High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Soluble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High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Soluble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High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Soluble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High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Soluble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Pazopanib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Low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Poorly soluble</w:t>
            </w:r>
          </w:p>
        </w:tc>
      </w:tr>
    </w:tbl>
    <w:p/>
    <w:p>
      <w:pPr>
        <w:spacing w:after="160"/>
      </w:pPr>
      <w:r>
        <w:rPr>
          <w:rFonts w:ascii="Arial" w:hAnsi="Arial"/>
          <w:sz w:val="22"/>
        </w:rPr>
        <w:t>All REINVENT4 candidates show High GI absorption, meaning they are predicted to be well-absorbed after oral administration. This is a critical advantage over Pazopanib, which shows Low GI absorption. None of the molecules cross the blood-brain barrier (BBB), which is desirable for an anti-cancer drug targeting peripheral tumors (HNSCC) to avoid CNS side effects.</w:t>
      </w:r>
    </w:p>
    <w:p>
      <w:pPr>
        <w:pStyle w:val="Heading2"/>
      </w:pPr>
      <w:r>
        <w:rPr>
          <w:color w:val="1B3A5C"/>
        </w:rPr>
        <w:t>4.2 CYP450 Metabolism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Molecule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CYP1A2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CYP2C19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CYP2C9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CYP2D6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CYP3A4</w:t>
            </w:r>
          </w:p>
        </w:tc>
      </w:tr>
      <w:tr>
        <w:tc>
          <w:tcPr>
            <w:tcW w:type="dxa" w:w="1568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#1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</w:tr>
      <w:tr>
        <w:tc>
          <w:tcPr>
            <w:tcW w:type="dxa" w:w="1568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#3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</w:tr>
      <w:tr>
        <w:tc>
          <w:tcPr>
            <w:tcW w:type="dxa" w:w="1568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#5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Pazopanib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Arial" w:hAnsi="Arial"/>
                <w:color w:val="E74C3C"/>
                <w:sz w:val="18"/>
              </w:rPr>
              <w:t>Yes</w:t>
            </w:r>
          </w:p>
        </w:tc>
      </w:tr>
    </w:tbl>
    <w:p/>
    <w:p>
      <w:pPr>
        <w:spacing w:after="160"/>
      </w:pPr>
      <w:r>
        <w:rPr>
          <w:rFonts w:ascii="Arial" w:hAnsi="Arial"/>
          <w:sz w:val="22"/>
        </w:rPr>
        <w:t>CYP450 inhibition indicates potential drug-drug interactions. Candidates #2, #3, and #5 show NO CYP inhibition at all, making them ideal for combination therapy. Candidate #4 inhibits 4 CYP enzymes (1A2, 2C19, 2C9, 3A4), which is a concern for drug interactions and should be deprioritized. Pazopanib inhibits CYP2C9 and CYP3A4.</w:t>
      </w:r>
    </w:p>
    <w:p>
      <w:r>
        <w:br w:type="page"/>
      </w:r>
    </w:p>
    <w:p>
      <w:pPr>
        <w:pStyle w:val="Heading1"/>
      </w:pPr>
      <w:r>
        <w:rPr>
          <w:color w:val="1B3A5C"/>
        </w:rPr>
        <w:t>5. Medicinal Chemistry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Molecule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PAINS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Brenk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Leadlikeness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Synth. Access.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#1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F39C12"/>
                <w:sz w:val="18"/>
              </w:rPr>
              <w:t>No (Rotors&gt;7)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2.51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F39C12"/>
                <w:sz w:val="18"/>
              </w:rPr>
              <w:t>No (MW&gt;350, Rotors&gt;7)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2.60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#3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3.29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F39C12"/>
                <w:sz w:val="18"/>
              </w:rPr>
              <w:t>No (MW&gt;350)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3.38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#5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Yes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2.85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Pazopanib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27AE60"/>
                <w:sz w:val="18"/>
              </w:rPr>
              <w:t>0 alert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color w:val="F39C12"/>
                <w:sz w:val="18"/>
              </w:rPr>
              <w:t>No (MW&gt;350)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3.41</w:t>
            </w:r>
          </w:p>
        </w:tc>
      </w:tr>
    </w:tbl>
    <w:p/>
    <w:p>
      <w:pPr>
        <w:spacing w:after="160"/>
      </w:pPr>
      <w:r>
        <w:rPr>
          <w:rFonts w:ascii="Arial" w:hAnsi="Arial"/>
          <w:sz w:val="22"/>
        </w:rPr>
        <w:t>All molecules are clean of PAINS (Pan-Assay Interference Compounds) and Brenk structural alerts, meaning they are unlikely to produce false positives in biological assays. Candidates #3 and #5 pass Leadlikeness criteria, making them ideal starting points for lead optimization. Synthetic Accessibility scores range from 2.51 to 3.41 (scale 1-10, lower = easier), indicating all candidates are synthetically feasible.</w:t>
      </w:r>
    </w:p>
    <w:p>
      <w:r>
        <w:br w:type="page"/>
      </w:r>
    </w:p>
    <w:p>
      <w:pPr>
        <w:pStyle w:val="Heading1"/>
      </w:pPr>
      <w:r>
        <w:rPr>
          <w:color w:val="1B3A5C"/>
        </w:rPr>
        <w:t>6. Final Candidate Ranking</w:t>
      </w:r>
    </w:p>
    <w:p>
      <w:pPr>
        <w:spacing w:after="160"/>
      </w:pPr>
      <w:r>
        <w:rPr>
          <w:rFonts w:ascii="Arial" w:hAnsi="Arial"/>
          <w:sz w:val="22"/>
        </w:rPr>
        <w:t>Based on the comprehensive SwissADME analysis, the REINVENT4 candidates are ranked as follows:</w:t>
      </w:r>
    </w:p>
    <w:p>
      <w:r>
        <w:rPr>
          <w:b/>
          <w:color w:val="27AE60"/>
          <w:sz w:val="24"/>
        </w:rPr>
        <w:t>1st: Candidate #3 (MW 343.40)</w:t>
      </w:r>
    </w:p>
    <w:p>
      <w:pPr>
        <w:spacing w:after="200"/>
      </w:pPr>
      <w:r>
        <w:rPr>
          <w:sz w:val="22"/>
        </w:rPr>
        <w:t>Best overall profile. High GI absorption, zero CYP inhibition, passes all drug-likeness filters AND Leadlikeness, good solubility, PAINS/Brenk clean. The only candidate with zero pharmacokinetic concerns. Synthetic accessibility 3.29.</w:t>
      </w:r>
    </w:p>
    <w:p>
      <w:r>
        <w:rPr>
          <w:b/>
          <w:color w:val="27AE60"/>
          <w:sz w:val="24"/>
        </w:rPr>
        <w:t>2nd: Candidate #5 (MW 349.40)</w:t>
      </w:r>
    </w:p>
    <w:p>
      <w:pPr>
        <w:spacing w:after="200"/>
      </w:pPr>
      <w:r>
        <w:rPr>
          <w:sz w:val="22"/>
        </w:rPr>
        <w:t>Excellent profile. High GI absorption, zero CYP inhibition, passes Leadlikeness. Very similar to #3 with slightly lower synthetic accessibility (2.85 = easier to make). Only minor concern: P-gp substrate.</w:t>
      </w:r>
    </w:p>
    <w:p>
      <w:r>
        <w:rPr>
          <w:b/>
          <w:color w:val="2980B9"/>
          <w:sz w:val="24"/>
        </w:rPr>
        <w:t>3rd: Candidate #2 (MW 353.42)</w:t>
      </w:r>
    </w:p>
    <w:p>
      <w:pPr>
        <w:spacing w:after="200"/>
      </w:pPr>
      <w:r>
        <w:rPr>
          <w:sz w:val="22"/>
        </w:rPr>
        <w:t>Very good profile. High GI absorption, zero CYP inhibition, good solubility. Does not pass Leadlikeness (MW&gt;350, Rotors&gt;7), but all drug-likeness filters pass. Lowest TPSA among candidates (87.22).</w:t>
      </w:r>
    </w:p>
    <w:p>
      <w:r>
        <w:rPr>
          <w:b/>
          <w:color w:val="2980B9"/>
          <w:sz w:val="24"/>
        </w:rPr>
        <w:t>4th: Candidate #1 (MW 335.42)</w:t>
      </w:r>
    </w:p>
    <w:p>
      <w:pPr>
        <w:spacing w:after="200"/>
      </w:pPr>
      <w:r>
        <w:rPr>
          <w:sz w:val="22"/>
        </w:rPr>
        <w:t>Good profile. Lightest molecule with High GI absorption. One CYP2D6 inhibition is a minor concern. Does not pass Leadlikeness (Rotors&gt;7). Easiest to synthesize (SA 2.51).</w:t>
      </w:r>
    </w:p>
    <w:p>
      <w:r>
        <w:rPr>
          <w:b/>
          <w:color w:val="F39C12"/>
          <w:sz w:val="24"/>
        </w:rPr>
        <w:t>5th: Candidate #4 (MW 355.39)</w:t>
      </w:r>
    </w:p>
    <w:p>
      <w:pPr>
        <w:spacing w:after="200"/>
      </w:pPr>
      <w:r>
        <w:rPr>
          <w:sz w:val="22"/>
        </w:rPr>
        <w:t>Moderate profile. Despite High GI absorption and passing all drug-likeness filters, it inhibits 4 CYP enzymes (1A2, 2C19, 2C9, 3A4), creating significant drug interaction risk. Deprioritized for combination therapy applications.</w:t>
      </w:r>
    </w:p>
    <w:p/>
    <w:p>
      <w:pPr>
        <w:pStyle w:val="Heading2"/>
      </w:pPr>
      <w:r>
        <w:rPr>
          <w:color w:val="1B3A5C"/>
        </w:rPr>
        <w:t>6.1 REINVENT4 vs. Pazopanib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Property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REINVENT4 #3 (Best)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Pazopanib (Reference)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GI Absorption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Solubility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Soluble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Poorly soluble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Drug-likeness (5 filters)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All PASS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 FAIL (Veber/Egan/Muegge)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Leadlikeness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FAIL (MW&gt;350)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CYP Inhibition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None (0/5)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2/5 (CYP2C9, CYP3A4)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PAINS/Brenk Alerts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 / 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0 / 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Synthetic Accessibility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3.29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3.41</w:t>
            </w:r>
          </w:p>
        </w:tc>
      </w:tr>
    </w:tbl>
    <w:p/>
    <w:p>
      <w:pPr>
        <w:pStyle w:val="Heading1"/>
      </w:pPr>
      <w:r>
        <w:rPr>
          <w:color w:val="1B3A5C"/>
        </w:rPr>
        <w:t>7. Recommendations</w:t>
      </w:r>
    </w:p>
    <w:p>
      <w:r>
        <w:rPr>
          <w:b/>
          <w:color w:val="1B3A5C"/>
          <w:sz w:val="22"/>
        </w:rPr>
        <w:t>1. Prioritize #3 and #5 for molecular docking</w:t>
      </w:r>
    </w:p>
    <w:p>
      <w:pPr>
        <w:spacing w:after="160"/>
      </w:pPr>
      <w:r>
        <w:rPr>
          <w:sz w:val="22"/>
        </w:rPr>
        <w:t>These candidates have the best overall ADMET profiles and should proceed to PyRx/AutoDock Vina docking against the WBP5 P_0 pocket to predict binding affinity.</w:t>
      </w:r>
    </w:p>
    <w:p>
      <w:r>
        <w:rPr>
          <w:b/>
          <w:color w:val="1B3A5C"/>
          <w:sz w:val="22"/>
        </w:rPr>
        <w:t>2. Include #1 and #2 as backup candidates</w:t>
      </w:r>
    </w:p>
    <w:p>
      <w:pPr>
        <w:spacing w:after="160"/>
      </w:pPr>
      <w:r>
        <w:rPr>
          <w:sz w:val="22"/>
        </w:rPr>
        <w:t>Good ADMET profiles with minor concerns. If #3 or #5 show poor docking scores, these provide alternatives.</w:t>
      </w:r>
    </w:p>
    <w:p>
      <w:r>
        <w:rPr>
          <w:b/>
          <w:color w:val="1B3A5C"/>
          <w:sz w:val="22"/>
        </w:rPr>
        <w:t>3. Deprioritize #4 for combination therapy</w:t>
      </w:r>
    </w:p>
    <w:p>
      <w:pPr>
        <w:spacing w:after="160"/>
      </w:pPr>
      <w:r>
        <w:rPr>
          <w:sz w:val="22"/>
        </w:rPr>
        <w:t>Multiple CYP inhibitions make it unsuitable for use with other drugs. However, it could be considered as a monotherapy candidate if docking scores are exceptional.</w:t>
      </w:r>
    </w:p>
    <w:p>
      <w:r>
        <w:rPr>
          <w:b/>
          <w:color w:val="1B3A5C"/>
          <w:sz w:val="22"/>
        </w:rPr>
        <w:t>4. Use Pazopanib as a benchmark, not a lead</w:t>
      </w:r>
    </w:p>
    <w:p>
      <w:pPr>
        <w:spacing w:after="160"/>
      </w:pPr>
      <w:r>
        <w:rPr>
          <w:sz w:val="22"/>
        </w:rPr>
        <w:t>Pazopanib's poor GI absorption and solubility confirm it is suboptimal for WBP5 targeting. The REINVENT4 candidates represent significant improvements.</w:t>
      </w:r>
    </w:p>
    <w:p/>
    <w:p>
      <w:pPr>
        <w:jc w:val="center"/>
      </w:pPr>
      <w:r>
        <w:rPr>
          <w:i/>
          <w:color w:val="999999"/>
          <w:sz w:val="18"/>
        </w:rPr>
        <w:t>Generated with SwissADME (SIB Swiss Institute of Bioinformatics)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