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NULL</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results"/>
      <w:r>
        <w:t xml:space="preserve">1	Results</w:t>
      </w:r>
      <w:bookmarkEnd w:id="20"/>
    </w:p>
    <w:p>
      <w:pPr>
        <w:pStyle w:val="FirstParagraph"/>
      </w:pPr>
      <w:r>
        <w:t xml:space="preserve">The data were cleaned following methods laid out in Pexman et al. (2019) to screen for invalid responses (e.g., inattentive participants, bot responses) in the online questionnaire. First, 10 participants who indicated hearing less than 50% English at home were excluded. We then excluded three participants who completed less than 33% of the questionnaire and 32 participants who provided the same rating for more than 12 words in a row. Then ratings for the 20 control words were compared to ratings already acquired for those words from the pilot study. Any participant whose ratings correlated with the pilot data between -0.5 and 0.2 were to be excluded, however, all remaining participants had a correlation higher than 0.2 across the control words. Finally, we calculated the correlation between each remaining participants’ ratings and the average rating of all participants on the same words. Any participant with a correlation less than 0.10 was to be excluded, however no additional participants were removed due to this criterion. A total of 61 participants were removed via these data cleaning steps, leaving responses from 286 participants. Table 1 provides the difference in demographic information for the total and retained samples. Demographic features did not vary drastically between the full and retained samples.</w:t>
      </w:r>
    </w:p>
    <w:p>
      <w:pPr>
        <w:pStyle w:val="Textkrper"/>
      </w:pPr>
      <w:r>
        <w:t xml:space="preserve">The resulting child BOI ratings and raw data are available at:</w:t>
      </w:r>
      <w:r>
        <w:t xml:space="preserve"> </w:t>
      </w:r>
      <w:hyperlink r:id="rId21">
        <w:r>
          <w:rPr>
            <w:rStyle w:val="Hyperlink"/>
          </w:rPr>
          <w:t xml:space="preserve">https://osf.io/xcezv/</w:t>
        </w:r>
      </w:hyperlink>
      <w:r>
        <w:t xml:space="preserve">. We examined the reliability of the ratings by computing two intraclass correlation coefficients (ICC) based on the control word ratings from all participants (Brysbaert et al., 2019; Fletcher, 2015). The first ICC corresponds to the average correlation of the control item ratings between participants and was 0.57. The second ICC corresponds to the anticipated correlation between the mean ratings of the existing participants and the mean ratings that would be anticipated if we collected an equivalent group of participants and was 0.997. We then examined the validity of the ratings by comparing the new Child BOI ratings to Child BOI ratings collected in the pilot study (n = 211). The current child BOI ratings were strongly correlated with the ratings collected in the pilot study (</w:t>
      </w:r>
      <w:r>
        <w:rPr>
          <w:i/>
        </w:rPr>
        <w:t xml:space="preserve">r</w:t>
      </w:r>
      <w:r>
        <w:t xml:space="preserve"> </w:t>
      </w:r>
      <w:r>
        <w:t xml:space="preserve">= 0.93).</w:t>
      </w:r>
    </w:p>
    <w:p>
      <w:pPr>
        <w:pStyle w:val="Textkrper"/>
      </w:pPr>
      <w:r>
        <w:t xml:space="preserve">Descriptive statistics for child BOI ratings of 3,359 words are presented in Table 2 and the distribution of the Child BOI ratings is shown in Figure 1. The Child BOI ratings showed a slight bimodal distribution. We further assessed the distribution of the Child BOI ratings by syntactic class, as compared to the distribution of Adult BOI ratings for the same items (n = 2,421; Figure 2). When comparing across all syntactic classes, the Adult BOI ratings appear to be bimodally distributed relative to the Child BOI ratings. For nouns, Adult BOI shows a greater concentration of items rated between ~4.25 and 6.5, whereas Child BOI shows a somewhat more even distribution of items rated between ~3 and 6.5, with more items rated above 6.5 than the Adult BOI ratings. However, for all other syntactic classes, Child BOI ratings showed a greater concentration of ratings above 3 compared to the Adult BOI ratings. This may reflect a belief that children have a greater degree of sensorimotor experiences with the world and therefore provide higher BOI ratings even for syntactic classes which are typically associated with less body-object interaction information by adult standards.</w:t>
      </w:r>
    </w:p>
    <w:p>
      <w:pPr>
        <w:pStyle w:val="Compact"/>
      </w:pPr>
      <w:r>
        <w:t xml:space="preserve">(#tab:show table 2)</w:t>
      </w:r>
    </w:p>
    <w:p>
      <w:pPr>
        <w:pStyle w:val="Compact"/>
        <w:pStyle w:val="TableCaption"/>
      </w:pPr>
      <w:r>
        <w:rPr>
          <w:i/>
        </w:rPr>
        <w:t xml:space="preserve">Regression Coefficients from Item-Level Analyses Predicting MCDI Age of Acquisition (N = 407)</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Value</w:t>
            </w:r>
          </w:p>
        </w:tc>
      </w:tr>
      <w:tr>
        <w:tc>
          <w:p>
            <w:pPr>
              <w:pStyle w:val="Compact"/>
              <w:jc w:val="left"/>
            </w:pPr>
            <w:r>
              <w:t xml:space="preserve">Mean</w:t>
            </w:r>
          </w:p>
        </w:tc>
        <w:tc>
          <w:p>
            <w:pPr>
              <w:pStyle w:val="Compact"/>
              <w:jc w:val="left"/>
            </w:pPr>
            <w:r>
              <w:t xml:space="preserve">3.74</w:t>
            </w:r>
          </w:p>
        </w:tc>
      </w:tr>
      <w:tr>
        <w:tc>
          <w:p>
            <w:pPr>
              <w:pStyle w:val="Compact"/>
              <w:jc w:val="left"/>
            </w:pPr>
            <w:r>
              <w:t xml:space="preserve">Median</w:t>
            </w:r>
          </w:p>
        </w:tc>
        <w:tc>
          <w:p>
            <w:pPr>
              <w:pStyle w:val="Compact"/>
              <w:jc w:val="left"/>
            </w:pPr>
            <w:r>
              <w:t xml:space="preserve">3.52</w:t>
            </w:r>
          </w:p>
        </w:tc>
      </w:tr>
      <w:tr>
        <w:tc>
          <w:p>
            <w:pPr>
              <w:pStyle w:val="Compact"/>
              <w:jc w:val="left"/>
            </w:pPr>
            <w:r>
              <w:t xml:space="preserve">Standard Deviation</w:t>
            </w:r>
          </w:p>
        </w:tc>
        <w:tc>
          <w:p>
            <w:pPr>
              <w:pStyle w:val="Compact"/>
              <w:jc w:val="left"/>
            </w:pPr>
            <w:r>
              <w:t xml:space="preserve">1.41</w:t>
            </w:r>
          </w:p>
        </w:tc>
      </w:tr>
      <w:tr>
        <w:tc>
          <w:p>
            <w:pPr>
              <w:pStyle w:val="Compact"/>
              <w:jc w:val="left"/>
            </w:pPr>
            <w:r>
              <w:t xml:space="preserve">Minimum</w:t>
            </w:r>
          </w:p>
        </w:tc>
        <w:tc>
          <w:p>
            <w:pPr>
              <w:pStyle w:val="Compact"/>
              <w:jc w:val="left"/>
            </w:pPr>
            <w:r>
              <w:t xml:space="preserve">1.00</w:t>
            </w:r>
          </w:p>
        </w:tc>
      </w:tr>
      <w:tr>
        <w:tc>
          <w:p>
            <w:pPr>
              <w:pStyle w:val="Compact"/>
              <w:jc w:val="left"/>
            </w:pPr>
            <w:r>
              <w:t xml:space="preserve">Maximum</w:t>
            </w:r>
          </w:p>
        </w:tc>
        <w:tc>
          <w:p>
            <w:pPr>
              <w:pStyle w:val="Compact"/>
              <w:jc w:val="left"/>
            </w:pPr>
            <w:r>
              <w:t xml:space="preserve">7.00</w:t>
            </w:r>
          </w:p>
        </w:tc>
      </w:tr>
      <w:tr>
        <w:tc>
          <w:p>
            <w:pPr>
              <w:pStyle w:val="Compact"/>
              <w:jc w:val="left"/>
            </w:pPr>
            <w:r>
              <w:t xml:space="preserve">1st quartile</w:t>
            </w:r>
          </w:p>
        </w:tc>
        <w:tc>
          <w:p>
            <w:pPr>
              <w:pStyle w:val="Compact"/>
              <w:jc w:val="left"/>
            </w:pPr>
            <w:r>
              <w:t xml:space="preserve">2.63</w:t>
            </w:r>
          </w:p>
        </w:tc>
      </w:tr>
      <w:tr>
        <w:tc>
          <w:p>
            <w:pPr>
              <w:pStyle w:val="Compact"/>
              <w:jc w:val="left"/>
            </w:pPr>
            <w:r>
              <w:t xml:space="preserve">3rd quartile</w:t>
            </w:r>
          </w:p>
        </w:tc>
        <w:tc>
          <w:p>
            <w:pPr>
              <w:pStyle w:val="Compact"/>
              <w:jc w:val="left"/>
            </w:pPr>
            <w:r>
              <w:t xml:space="preserve">4.72</w:t>
            </w:r>
          </w:p>
        </w:tc>
      </w:tr>
      <w:tr>
        <w:tc>
          <w:p>
            <w:pPr>
              <w:pStyle w:val="Compact"/>
              <w:jc w:val="left"/>
            </w:pPr>
            <w:r>
              <w:t xml:space="preserve">Skewness</w:t>
            </w:r>
          </w:p>
        </w:tc>
        <w:tc>
          <w:p>
            <w:pPr>
              <w:pStyle w:val="Compact"/>
              <w:jc w:val="left"/>
            </w:pPr>
            <w:r>
              <w:t xml:space="preserve">0.48</w:t>
            </w:r>
          </w:p>
        </w:tc>
      </w:tr>
      <w:tr>
        <w:tc>
          <w:p>
            <w:pPr>
              <w:pStyle w:val="Compact"/>
              <w:jc w:val="left"/>
            </w:pPr>
            <w:r>
              <w:t xml:space="preserve">Kurtosis</w:t>
            </w:r>
          </w:p>
        </w:tc>
        <w:tc>
          <w:p>
            <w:pPr>
              <w:pStyle w:val="Compact"/>
              <w:jc w:val="left"/>
            </w:pPr>
            <w:r>
              <w:t xml:space="preserve">-0.69</w:t>
            </w:r>
          </w:p>
        </w:tc>
      </w:tr>
    </w:tbl>
    <w:p>
      <w:pPr>
        <w:pStyle w:val="Compact"/>
      </w:pPr>
      <w:r>
        <w:rPr>
          <w:i/>
        </w:rPr>
        <w:t xml:space="preserve">Note.</w:t>
      </w:r>
      <w:r>
        <w:t xml:space="preserve"> </w:t>
      </w:r>
      <w:r>
        <w:t xml:space="preserve">NA</w:t>
      </w:r>
    </w:p>
    <w:p>
      <w:pPr>
        <w:pStyle w:val="Textkrper"/>
      </w:pPr>
      <w:r>
        <w:t xml:space="preserve"> </w:t>
      </w:r>
    </w:p>
    <w:p>
      <w:pPr>
        <w:pStyle w:val="Textkrper"/>
      </w:pPr>
      <w:r>
        <w:rPr>
          <w:b/>
        </w:rPr>
        <w:t xml:space="preserve">Figure 1</w:t>
      </w:r>
    </w:p>
    <w:p>
      <w:pPr>
        <w:pStyle w:val="Textkrper"/>
      </w:pPr>
      <w:r>
        <w:rPr>
          <w:i/>
        </w:rPr>
        <w:t xml:space="preserve">Distribution of Child Body-Object Interaction Ratings for 3,359 Words</w:t>
      </w:r>
    </w:p>
    <w:p>
      <w:pPr>
        <w:pStyle w:val="Textkrper"/>
      </w:pPr>
      <w:r>
        <w:rPr>
          <w:b/>
        </w:rPr>
        <w:t xml:space="preserve">Figure 2</w:t>
      </w:r>
    </w:p>
    <w:p>
      <w:pPr>
        <w:pStyle w:val="Textkrper"/>
      </w:pPr>
      <w:r>
        <w:rPr>
          <w:i/>
        </w:rPr>
        <w:t xml:space="preserve">Distribution of Child and Adult Body-Object Interaction Ratings By Syntactic Class</w:t>
      </w:r>
    </w:p>
    <w:p>
      <w:pPr>
        <w:pStyle w:val="Textkrper"/>
      </w:pPr>
      <w:r>
        <w:t xml:space="preserve">We then examined relationships between the new Child and existing Adult BOI ratings to linguistic ratings datasets. We inspected how each of the BOI rating sets correlated with the lexical dimensions length (number of letters), log frequency derived from child-directed speech in the CHILDES databases (MacWhinney, 2000), orthographic and phonological Levenshtein distance (Yarkoni, Balota, &amp; Yap, 2008), age-of-acquisition derived from the MacArthur Bates Communicative Development Inventory (MCDI; Fenson et al., 1993), a test-based measure of age-of-acquisition derived from Dale and O’Rourke (1981) and updated by Brysbaert and Biemiller (2017), and a ratings-based measure of age-of-acquisition (Kuperman et al., 2012). The correlations are presented in Figure 3.</w:t>
      </w:r>
    </w:p>
    <w:p>
      <w:pPr>
        <w:pStyle w:val="Textkrper"/>
      </w:pPr>
      <w:r>
        <w:t xml:space="preserve">Child BOI was strongly related to frequency in child-based speech (Child BOI</w:t>
      </w:r>
      <w:r>
        <w:t xml:space="preserve"> </w:t>
      </w:r>
      <w:r>
        <w:rPr>
          <w:i/>
        </w:rPr>
        <w:t xml:space="preserve">r</w:t>
      </w:r>
      <w:r>
        <w:t xml:space="preserve"> </w:t>
      </w:r>
      <w:r>
        <w:t xml:space="preserve">= 0.34, Adult BOI</w:t>
      </w:r>
      <w:r>
        <w:t xml:space="preserve"> </w:t>
      </w:r>
      <w:r>
        <w:rPr>
          <w:i/>
        </w:rPr>
        <w:t xml:space="preserve">r</w:t>
      </w:r>
      <w:r>
        <w:t xml:space="preserve"> </w:t>
      </w:r>
      <w:r>
        <w:t xml:space="preserve">= -0.03), whereas Adult BOI was more strongly related to subtitle frequency (Child BOI</w:t>
      </w:r>
      <w:r>
        <w:t xml:space="preserve"> </w:t>
      </w:r>
      <w:r>
        <w:rPr>
          <w:i/>
        </w:rPr>
        <w:t xml:space="preserve">r</w:t>
      </w:r>
      <w:r>
        <w:t xml:space="preserve"> </w:t>
      </w:r>
      <w:r>
        <w:t xml:space="preserve">= -0.05, Adult BOI</w:t>
      </w:r>
      <w:r>
        <w:t xml:space="preserve"> </w:t>
      </w:r>
      <w:r>
        <w:rPr>
          <w:i/>
        </w:rPr>
        <w:t xml:space="preserve">r</w:t>
      </w:r>
      <w:r>
        <w:t xml:space="preserve"> </w:t>
      </w:r>
      <w:r>
        <w:t xml:space="preserve">= -0.30). Child BOI was more related to all three measures of AoA than Adult BOI was; ratings-based (Child BOI</w:t>
      </w:r>
      <w:r>
        <w:t xml:space="preserve"> </w:t>
      </w:r>
      <w:r>
        <w:rPr>
          <w:i/>
        </w:rPr>
        <w:t xml:space="preserve">r</w:t>
      </w:r>
      <w:r>
        <w:t xml:space="preserve"> </w:t>
      </w:r>
      <w:r>
        <w:t xml:space="preserve">= -0.60, Adult BOI</w:t>
      </w:r>
      <w:r>
        <w:t xml:space="preserve"> </w:t>
      </w:r>
      <w:r>
        <w:rPr>
          <w:i/>
        </w:rPr>
        <w:t xml:space="preserve">r</w:t>
      </w:r>
      <w:r>
        <w:t xml:space="preserve"> </w:t>
      </w:r>
      <w:r>
        <w:t xml:space="preserve">= -0.12), MCDI (Child BOI</w:t>
      </w:r>
      <w:r>
        <w:t xml:space="preserve"> </w:t>
      </w:r>
      <w:r>
        <w:rPr>
          <w:i/>
        </w:rPr>
        <w:t xml:space="preserve">r</w:t>
      </w:r>
      <w:r>
        <w:t xml:space="preserve"> </w:t>
      </w:r>
      <w:r>
        <w:t xml:space="preserve">= -0.40, Adult BOI</w:t>
      </w:r>
      <w:r>
        <w:t xml:space="preserve"> </w:t>
      </w:r>
      <w:r>
        <w:rPr>
          <w:i/>
        </w:rPr>
        <w:t xml:space="preserve">r</w:t>
      </w:r>
      <w:r>
        <w:t xml:space="preserve"> </w:t>
      </w:r>
      <w:r>
        <w:t xml:space="preserve">= -0.31), and test-based (Child BOI</w:t>
      </w:r>
      <w:r>
        <w:t xml:space="preserve"> </w:t>
      </w:r>
      <w:r>
        <w:rPr>
          <w:i/>
        </w:rPr>
        <w:t xml:space="preserve">r</w:t>
      </w:r>
      <w:r>
        <w:t xml:space="preserve"> </w:t>
      </w:r>
      <w:r>
        <w:t xml:space="preserve">= -0.35, Adult BOI</w:t>
      </w:r>
      <w:r>
        <w:t xml:space="preserve"> </w:t>
      </w:r>
      <w:r>
        <w:rPr>
          <w:i/>
        </w:rPr>
        <w:t xml:space="preserve">r</w:t>
      </w:r>
      <w:r>
        <w:t xml:space="preserve"> </w:t>
      </w:r>
      <w:r>
        <w:t xml:space="preserve">= -0.12).</w:t>
      </w:r>
    </w:p>
    <w:p>
      <w:pPr>
        <w:pStyle w:val="Textkrper"/>
      </w:pPr>
      <w:r>
        <w:rPr>
          <w:b/>
        </w:rPr>
        <w:t xml:space="preserve">Figure 3</w:t>
      </w:r>
    </w:p>
    <w:p>
      <w:pPr>
        <w:pStyle w:val="Textkrper"/>
      </w:pPr>
      <w:r>
        <w:rPr>
          <w:i/>
        </w:rPr>
        <w:t xml:space="preserve">Correlations Between Child and Adult Body-Object Interaction Ratings and Lexical Dimensions</w:t>
      </w:r>
    </w:p>
    <w:p>
      <w:pPr>
        <w:pStyle w:val="Textkrper"/>
      </w:pPr>
      <w:r>
        <w:t xml:space="preserve">We next examined relationships between the new Child and existing Adult BOI ratings to the semantic dimensions related to sensorimotor, perceptual and emotional experience, including concreteness (Brysbaert et al., 2014), imageability (Cortese &amp; Fuggett, 2004; Schock, Cortese, &amp; Khanna, 2012), sensory experience ratings (SER; Juhasz &amp; Yap, 2013), arousal and valence (Warriner et al., 2013), danger (Witherell et al., 2012) perceptual and action strength ratings from the Lancaster Sensorimotor Norms (auditory, interoceptive, gustatory, haptic, olfactory, visual, foot/leg actions, hand/arm actions, head actions, mouth actions, torso actions, and composite measures of overall perceptual and action strength; Lynott et al., 2020), and perceptual and motor attribute ratings on color, grasp, motion, and pain (Amsel et al., 2012). The correlations are presented in Figure 4.</w:t>
      </w:r>
    </w:p>
    <w:p>
      <w:pPr>
        <w:pStyle w:val="Textkrper"/>
      </w:pPr>
      <w:r>
        <w:t xml:space="preserve">Child BOI was more related than Adult BOI to SER (Child BOI</w:t>
      </w:r>
      <w:r>
        <w:t xml:space="preserve"> </w:t>
      </w:r>
      <w:r>
        <w:rPr>
          <w:i/>
        </w:rPr>
        <w:t xml:space="preserve">r</w:t>
      </w:r>
      <w:r>
        <w:t xml:space="preserve"> </w:t>
      </w:r>
      <w:r>
        <w:t xml:space="preserve">= 0.41, Adult BOI</w:t>
      </w:r>
      <w:r>
        <w:t xml:space="preserve"> </w:t>
      </w:r>
      <w:r>
        <w:rPr>
          <w:i/>
        </w:rPr>
        <w:t xml:space="preserve">r</w:t>
      </w:r>
      <w:r>
        <w:t xml:space="preserve"> </w:t>
      </w:r>
      <w:r>
        <w:t xml:space="preserve">= 0.35) and Valence (Child BOI</w:t>
      </w:r>
      <w:r>
        <w:t xml:space="preserve"> </w:t>
      </w:r>
      <w:r>
        <w:rPr>
          <w:i/>
        </w:rPr>
        <w:t xml:space="preserve">r</w:t>
      </w:r>
      <w:r>
        <w:t xml:space="preserve"> </w:t>
      </w:r>
      <w:r>
        <w:t xml:space="preserve">= 0.25, Adult BOI</w:t>
      </w:r>
      <w:r>
        <w:t xml:space="preserve"> </w:t>
      </w:r>
      <w:r>
        <w:rPr>
          <w:i/>
        </w:rPr>
        <w:t xml:space="preserve">r</w:t>
      </w:r>
      <w:r>
        <w:t xml:space="preserve"> </w:t>
      </w:r>
      <w:r>
        <w:t xml:space="preserve">= 0.14). Adult BOI was more related to concreteness (Child BOI (</w:t>
      </w:r>
      <w:r>
        <w:rPr>
          <w:i/>
        </w:rPr>
        <w:t xml:space="preserve">r</w:t>
      </w:r>
      <w:r>
        <w:t xml:space="preserve"> </w:t>
      </w:r>
      <w:r>
        <w:t xml:space="preserve">= 0.62), Adult BOI (</w:t>
      </w:r>
      <w:r>
        <w:rPr>
          <w:i/>
        </w:rPr>
        <w:t xml:space="preserve">r</w:t>
      </w:r>
      <w:r>
        <w:t xml:space="preserve"> </w:t>
      </w:r>
      <w:r>
        <w:t xml:space="preserve">= 0.79)), imageability (Child BOI (</w:t>
      </w:r>
      <w:r>
        <w:rPr>
          <w:i/>
        </w:rPr>
        <w:t xml:space="preserve">r</w:t>
      </w:r>
      <w:r>
        <w:t xml:space="preserve"> </w:t>
      </w:r>
      <w:r>
        <w:t xml:space="preserve">= 0.62), Adult BOI (</w:t>
      </w:r>
      <w:r>
        <w:rPr>
          <w:i/>
        </w:rPr>
        <w:t xml:space="preserve">r</w:t>
      </w:r>
      <w:r>
        <w:t xml:space="preserve"> </w:t>
      </w:r>
      <w:r>
        <w:t xml:space="preserve">= 0.76)), and arousal (Child BOI (</w:t>
      </w:r>
      <w:r>
        <w:rPr>
          <w:i/>
        </w:rPr>
        <w:t xml:space="preserve">r</w:t>
      </w:r>
      <w:r>
        <w:t xml:space="preserve"> </w:t>
      </w:r>
      <w:r>
        <w:t xml:space="preserve">= -0.15), Adult BOI (</w:t>
      </w:r>
      <w:r>
        <w:rPr>
          <w:i/>
        </w:rPr>
        <w:t xml:space="preserve">r</w:t>
      </w:r>
      <w:r>
        <w:t xml:space="preserve"> </w:t>
      </w:r>
      <w:r>
        <w:t xml:space="preserve">= -0.20)).</w:t>
      </w:r>
    </w:p>
    <w:p>
      <w:pPr>
        <w:pStyle w:val="Textkrper"/>
      </w:pPr>
      <w:r>
        <w:t xml:space="preserve">On the Lancaster perceptual strength ratings, Child and Adult BOI relationships were similar on most dimensions, although Child BOI was much less related to interoceptive strength (Child BOI (</w:t>
      </w:r>
      <w:r>
        <w:rPr>
          <w:i/>
        </w:rPr>
        <w:t xml:space="preserve">r</w:t>
      </w:r>
      <w:r>
        <w:t xml:space="preserve"> </w:t>
      </w:r>
      <w:r>
        <w:t xml:space="preserve">= -0.17), Adult BOI (</w:t>
      </w:r>
      <w:r>
        <w:rPr>
          <w:i/>
        </w:rPr>
        <w:t xml:space="preserve">r</w:t>
      </w:r>
      <w:r>
        <w:t xml:space="preserve"> </w:t>
      </w:r>
      <w:r>
        <w:t xml:space="preserve">= -0.33)). On the Lancaster action strength ratings, Child BOI was more related than Adult BOI to foot/leg actions ratings (Child BOI</w:t>
      </w:r>
      <w:r>
        <w:t xml:space="preserve"> </w:t>
      </w:r>
      <w:r>
        <w:rPr>
          <w:i/>
        </w:rPr>
        <w:t xml:space="preserve">r</w:t>
      </w:r>
      <w:r>
        <w:t xml:space="preserve"> </w:t>
      </w:r>
      <w:r>
        <w:t xml:space="preserve">= 0.11, Adult BOI</w:t>
      </w:r>
      <w:r>
        <w:t xml:space="preserve"> </w:t>
      </w:r>
      <w:r>
        <w:rPr>
          <w:i/>
        </w:rPr>
        <w:t xml:space="preserve">r</w:t>
      </w:r>
      <w:r>
        <w:t xml:space="preserve"> </w:t>
      </w:r>
      <w:r>
        <w:t xml:space="preserve">= -0.01), mouth action ratings (Child BOI</w:t>
      </w:r>
      <w:r>
        <w:t xml:space="preserve"> </w:t>
      </w:r>
      <w:r>
        <w:rPr>
          <w:i/>
        </w:rPr>
        <w:t xml:space="preserve">r</w:t>
      </w:r>
      <w:r>
        <w:t xml:space="preserve"> </w:t>
      </w:r>
      <w:r>
        <w:t xml:space="preserve">= 0.05, Adult BOI</w:t>
      </w:r>
      <w:r>
        <w:t xml:space="preserve"> </w:t>
      </w:r>
      <w:r>
        <w:rPr>
          <w:i/>
        </w:rPr>
        <w:t xml:space="preserve">r</w:t>
      </w:r>
      <w:r>
        <w:t xml:space="preserve"> </w:t>
      </w:r>
      <w:r>
        <w:t xml:space="preserve">= -0.04)and torso action ratings (Child BOI</w:t>
      </w:r>
      <w:r>
        <w:t xml:space="preserve"> </w:t>
      </w:r>
      <w:r>
        <w:rPr>
          <w:i/>
        </w:rPr>
        <w:t xml:space="preserve">r</w:t>
      </w:r>
      <w:r>
        <w:t xml:space="preserve"> </w:t>
      </w:r>
      <w:r>
        <w:t xml:space="preserve">= 0.11, Adult BOI</w:t>
      </w:r>
      <w:r>
        <w:t xml:space="preserve"> </w:t>
      </w:r>
      <w:r>
        <w:rPr>
          <w:i/>
        </w:rPr>
        <w:t xml:space="preserve">r</w:t>
      </w:r>
      <w:r>
        <w:t xml:space="preserve"> </w:t>
      </w:r>
      <w:r>
        <w:t xml:space="preserve">= 0.01), as well as the composite measure of action strength (Child BOI</w:t>
      </w:r>
      <w:r>
        <w:t xml:space="preserve"> </w:t>
      </w:r>
      <w:r>
        <w:rPr>
          <w:i/>
        </w:rPr>
        <w:t xml:space="preserve">r</w:t>
      </w:r>
      <w:r>
        <w:t xml:space="preserve"> </w:t>
      </w:r>
      <w:r>
        <w:t xml:space="preserve">= 0.36, Adult BOI</w:t>
      </w:r>
      <w:r>
        <w:t xml:space="preserve"> </w:t>
      </w:r>
      <w:r>
        <w:rPr>
          <w:i/>
        </w:rPr>
        <w:t xml:space="preserve">r</w:t>
      </w:r>
      <w:r>
        <w:t xml:space="preserve"> </w:t>
      </w:r>
      <w:r>
        <w:t xml:space="preserve">= 0.16). In addition, Child BOI was more positively related than Adult BOI to color (Child BOI</w:t>
      </w:r>
      <w:r>
        <w:t xml:space="preserve"> </w:t>
      </w:r>
      <w:r>
        <w:rPr>
          <w:i/>
        </w:rPr>
        <w:t xml:space="preserve">r</w:t>
      </w:r>
      <w:r>
        <w:t xml:space="preserve"> </w:t>
      </w:r>
      <w:r>
        <w:t xml:space="preserve">= 0.13, Adult BOI</w:t>
      </w:r>
      <w:r>
        <w:t xml:space="preserve"> </w:t>
      </w:r>
      <w:r>
        <w:rPr>
          <w:i/>
        </w:rPr>
        <w:t xml:space="preserve">r</w:t>
      </w:r>
      <w:r>
        <w:t xml:space="preserve"> </w:t>
      </w:r>
      <w:r>
        <w:t xml:space="preserve">= 0.03), and more negatively related to pain (Child BOI</w:t>
      </w:r>
      <w:r>
        <w:t xml:space="preserve"> </w:t>
      </w:r>
      <w:r>
        <w:rPr>
          <w:i/>
        </w:rPr>
        <w:t xml:space="preserve">r</w:t>
      </w:r>
      <w:r>
        <w:t xml:space="preserve"> </w:t>
      </w:r>
      <w:r>
        <w:t xml:space="preserve">= -0.33, Adult BOI</w:t>
      </w:r>
      <w:r>
        <w:t xml:space="preserve"> </w:t>
      </w:r>
      <w:r>
        <w:rPr>
          <w:i/>
        </w:rPr>
        <w:t xml:space="preserve">r</w:t>
      </w:r>
      <w:r>
        <w:t xml:space="preserve"> </w:t>
      </w:r>
      <w:r>
        <w:t xml:space="preserve">= -0.20)and danger (Child BOI</w:t>
      </w:r>
      <w:r>
        <w:t xml:space="preserve"> </w:t>
      </w:r>
      <w:r>
        <w:rPr>
          <w:i/>
        </w:rPr>
        <w:t xml:space="preserve">r</w:t>
      </w:r>
      <w:r>
        <w:t xml:space="preserve"> </w:t>
      </w:r>
      <w:r>
        <w:t xml:space="preserve">= -0.38, Adult BOI</w:t>
      </w:r>
      <w:r>
        <w:t xml:space="preserve"> </w:t>
      </w:r>
      <w:r>
        <w:rPr>
          <w:i/>
        </w:rPr>
        <w:t xml:space="preserve">r</w:t>
      </w:r>
      <w:r>
        <w:t xml:space="preserve"> </w:t>
      </w:r>
      <w:r>
        <w:t xml:space="preserve">= -0.25). Adult BOI was more related to both grasp (Child BOI</w:t>
      </w:r>
      <w:r>
        <w:t xml:space="preserve"> </w:t>
      </w:r>
      <w:r>
        <w:rPr>
          <w:i/>
        </w:rPr>
        <w:t xml:space="preserve">r</w:t>
      </w:r>
      <w:r>
        <w:t xml:space="preserve"> </w:t>
      </w:r>
      <w:r>
        <w:t xml:space="preserve">= 0.43, Adult BOI</w:t>
      </w:r>
      <w:r>
        <w:t xml:space="preserve"> </w:t>
      </w:r>
      <w:r>
        <w:rPr>
          <w:i/>
        </w:rPr>
        <w:t xml:space="preserve">r</w:t>
      </w:r>
      <w:r>
        <w:t xml:space="preserve"> </w:t>
      </w:r>
      <w:r>
        <w:t xml:space="preserve">= 0.53)and negatively related to motion (Child BOI</w:t>
      </w:r>
      <w:r>
        <w:t xml:space="preserve"> </w:t>
      </w:r>
      <w:r>
        <w:rPr>
          <w:i/>
        </w:rPr>
        <w:t xml:space="preserve">r</w:t>
      </w:r>
      <w:r>
        <w:t xml:space="preserve"> </w:t>
      </w:r>
      <w:r>
        <w:t xml:space="preserve">= -0.30, Adult BOI</w:t>
      </w:r>
      <w:r>
        <w:t xml:space="preserve"> </w:t>
      </w:r>
      <w:r>
        <w:rPr>
          <w:i/>
        </w:rPr>
        <w:t xml:space="preserve">r</w:t>
      </w:r>
      <w:r>
        <w:t xml:space="preserve"> </w:t>
      </w:r>
      <w:r>
        <w:t xml:space="preserve">= -0.41).</w:t>
      </w:r>
    </w:p>
    <w:p>
      <w:pPr>
        <w:pStyle w:val="Textkrper"/>
      </w:pPr>
      <w:r>
        <w:rPr>
          <w:b/>
        </w:rPr>
        <w:t xml:space="preserve">Figure 4</w:t>
      </w:r>
    </w:p>
    <w:p>
      <w:pPr>
        <w:pStyle w:val="Textkrper"/>
      </w:pPr>
      <w:r>
        <w:rPr>
          <w:i/>
        </w:rPr>
        <w:t xml:space="preserve">Correlations Between Child and Adult Body-Object Interaction Ratings and Semantic Dimensions</w:t>
      </w:r>
    </w:p>
    <w:p>
      <w:pPr>
        <w:pStyle w:val="Textkrper"/>
      </w:pPr>
      <w:r>
        <w:t xml:space="preserve">Finally, we examined how the difference between the BOI ratings (Child BOI - Adult BOI) was related to these lexical and semantic dimensions. In this measure positive BOI difference values reflect items that have higher BOI ratings for child compared to adult experience and negative BOI differences values reflect items that have higher BOI ratings for adult compared to child experience. We fit a regression line with BOI difference on the x axis and the lexical semantic dimension rating on the y axis. These relationships are depicted in Figure 5.</w:t>
      </w:r>
    </w:p>
    <w:p>
      <w:pPr>
        <w:pStyle w:val="Textkrper"/>
      </w:pPr>
      <w:r>
        <w:t xml:space="preserve">We observed negative relationships between BOI differences and both ratings and test-based AoA (</w:t>
      </w:r>
      <w:r>
        <w:rPr>
          <w:i/>
        </w:rPr>
        <w:t xml:space="preserve">r</w:t>
      </w:r>
      <w:r>
        <w:t xml:space="preserve"> </w:t>
      </w:r>
      <w:r>
        <w:t xml:space="preserve">= -0.51 and</w:t>
      </w:r>
      <w:r>
        <w:t xml:space="preserve"> </w:t>
      </w:r>
      <w:r>
        <w:rPr>
          <w:i/>
        </w:rPr>
        <w:t xml:space="preserve">r</w:t>
      </w:r>
      <w:r>
        <w:t xml:space="preserve"> </w:t>
      </w:r>
      <w:r>
        <w:t xml:space="preserve">= -0.21. This pattern indicates that items for which Child BOI was rated higher than Adult BOI are acquired earlier than items for which Adult BOI was rated as higher than Child BOI. A similar pattern can be seen for concreteness (</w:t>
      </w:r>
      <w:r>
        <w:rPr>
          <w:i/>
        </w:rPr>
        <w:t xml:space="preserve">r</w:t>
      </w:r>
      <w:r>
        <w:t xml:space="preserve"> </w:t>
      </w:r>
      <w:r>
        <w:t xml:space="preserve">= -0.37), imageability (</w:t>
      </w:r>
      <w:r>
        <w:rPr>
          <w:i/>
        </w:rPr>
        <w:t xml:space="preserve">r</w:t>
      </w:r>
      <w:r>
        <w:t xml:space="preserve"> </w:t>
      </w:r>
      <w:r>
        <w:t xml:space="preserve">= -0.33), and visual (</w:t>
      </w:r>
      <w:r>
        <w:rPr>
          <w:i/>
        </w:rPr>
        <w:t xml:space="preserve">r</w:t>
      </w:r>
      <w:r>
        <w:t xml:space="preserve"> </w:t>
      </w:r>
      <w:r>
        <w:t xml:space="preserve">= -0.20) perceptual strength, indicating that items with higher adult Adult BOI ratings are associated with more concrete and visual information. Similar patterns for the danger (</w:t>
      </w:r>
      <w:r>
        <w:rPr>
          <w:i/>
        </w:rPr>
        <w:t xml:space="preserve">r</w:t>
      </w:r>
      <w:r>
        <w:t xml:space="preserve"> </w:t>
      </w:r>
      <w:r>
        <w:t xml:space="preserve">= -0.18) and pain (</w:t>
      </w:r>
      <w:r>
        <w:rPr>
          <w:i/>
        </w:rPr>
        <w:t xml:space="preserve">r</w:t>
      </w:r>
      <w:r>
        <w:t xml:space="preserve"> </w:t>
      </w:r>
      <w:r>
        <w:t xml:space="preserve">= -0.24) dimensions indicate that items with higher Adult BOI ratings are also considered more dangerous and more associated with pain.</w:t>
      </w:r>
    </w:p>
    <w:p>
      <w:pPr>
        <w:pStyle w:val="Textkrper"/>
      </w:pPr>
      <w:r>
        <w:t xml:space="preserve">We observed positive relationships between BOI differences and both measures of word frequency (LgChildesWF</w:t>
      </w:r>
      <w:r>
        <w:t xml:space="preserve"> </w:t>
      </w:r>
      <w:r>
        <w:rPr>
          <w:i/>
        </w:rPr>
        <w:t xml:space="preserve">r</w:t>
      </w:r>
      <w:r>
        <w:t xml:space="preserve"> </w:t>
      </w:r>
      <w:r>
        <w:t xml:space="preserve">= 0.44 and LgSUBTLWF</w:t>
      </w:r>
      <w:r>
        <w:t xml:space="preserve"> </w:t>
      </w:r>
      <w:r>
        <w:rPr>
          <w:i/>
        </w:rPr>
        <w:t xml:space="preserve">r</w:t>
      </w:r>
      <w:r>
        <w:t xml:space="preserve"> </w:t>
      </w:r>
      <w:r>
        <w:t xml:space="preserve">= 0.34), suggesting that more frequent items also tend to receive higher Child BOI than Adult BOI ratings. Furthermore, more positive valence (</w:t>
      </w:r>
      <w:r>
        <w:rPr>
          <w:i/>
        </w:rPr>
        <w:t xml:space="preserve">r</w:t>
      </w:r>
      <w:r>
        <w:t xml:space="preserve"> </w:t>
      </w:r>
      <w:r>
        <w:t xml:space="preserve">= 0.15) and higher interoceptive strength ratings (</w:t>
      </w:r>
      <w:r>
        <w:rPr>
          <w:i/>
        </w:rPr>
        <w:t xml:space="preserve">r</w:t>
      </w:r>
      <w:r>
        <w:t xml:space="preserve"> </w:t>
      </w:r>
      <w:r>
        <w:t xml:space="preserve">= 0.30) are associated with items that had higher Child BOI than Adult BOI ratings. More modest positive relationships were observed between most action strength dimensions (excluding hand/arm) and differences in BOI.</w:t>
      </w:r>
    </w:p>
    <w:p>
      <w:pPr>
        <w:pStyle w:val="Textkrper"/>
      </w:pPr>
      <w:r>
        <w:rPr>
          <w:b/>
        </w:rPr>
        <w:t xml:space="preserve">Figure 5</w:t>
      </w:r>
    </w:p>
    <w:p>
      <w:pPr>
        <w:pStyle w:val="Textkrper"/>
      </w:pPr>
      <w:r>
        <w:rPr>
          <w:i/>
        </w:rPr>
        <w:t xml:space="preserve">Correlations Between BOI Difference Scores and Lexical Semantic Dimensions</w:t>
      </w:r>
    </w:p>
    <w:p>
      <w:pPr>
        <w:pStyle w:val="Textkrper"/>
      </w:pPr>
      <w:r>
        <w:rPr>
          <w:b/>
        </w:rPr>
        <w:t xml:space="preserve">Relationships to Age-of-Acquisition</w:t>
      </w:r>
    </w:p>
    <w:p>
      <w:pPr>
        <w:pStyle w:val="Textkrper"/>
      </w:pPr>
      <w:r>
        <w:t xml:space="preserve">The relationships for child and adult BOI with the three different AoA measures were tested using hierarchical multiple regressions. Within each AoA dataset, if any word had multiple meanings, or multiple reported AoA ratings for the same word, the earliest AoA rating was used. The first AoA measure was parent estimates of child word production from the MacArthur Bates Communicative Development Inventory (MCDI: Fenson et al., 1993). This inventory consists mainly of words typically acquired before 30 months, where AoA is measured as the month when 50% or more of the sample of infants were estimated to have the ability to produce a certain word.</w:t>
      </w:r>
    </w:p>
    <w:p>
      <w:pPr>
        <w:pStyle w:val="Textkrper"/>
      </w:pPr>
      <w:r>
        <w:t xml:space="preserve">The second measure was test-based AoA obtained from the updated version of Dale and O’Rourke (1981) as reported in Brysbaert and Biemiller (2017). This measure was derived by testing thousands of children in different grades for their knowledge of the meanings of thousands of words. In this dataset, each word’s AoA is taken as the earliest grade level at which an estimated 50 - 70% of students chose the correct meaning from a set of three response options. The original Dale and O’Rourke dataset spanned Grades 2 through 12 and the Brysbaert and Biemiller updated dataset included grades 13 and 16 (representing university years one and four respectively).</w:t>
      </w:r>
    </w:p>
    <w:p>
      <w:pPr>
        <w:pStyle w:val="Textkrper"/>
      </w:pPr>
      <w:r>
        <w:t xml:space="preserve">Finally, we extracted ratings-based AoA from Kuperman et al. (2012). This measure was derived from adults’ ratings of the age (in years) at which they believe they acquired a word. Each regression included frequency, length, and imageability in the first step, after which either child or adult BOI was entered as a predictor in step 2. For each measure of AoA, only words that had ratings for both child and adult BOI were included in the analyses in order to provide a fair comparison between the two predictors.</w:t>
      </w:r>
    </w:p>
    <w:p>
      <w:pPr>
        <w:pStyle w:val="Textkrper"/>
      </w:pPr>
      <w:r>
        <w:rPr>
          <w:i/>
        </w:rPr>
        <w:t xml:space="preserve">MCDI</w:t>
      </w:r>
    </w:p>
    <w:p>
      <w:pPr>
        <w:pStyle w:val="Textkrper"/>
      </w:pPr>
      <w:r>
        <w:t xml:space="preserve">A model with only the predictors log CHILDES frequency, length, and imageability accounted for 31.50% of variance in MCDI AoA. The addition of adult BOI ratings to the model accounted for an additional 0.52% of variance, whereas the addition of child BOI ratings to the model accounted for an additional 6.43% and the addition of BOI difference to the model accounted for an additional 1.96%. For every unit increase in BOI rating, MCDI AoA decreases for Child ratings, ß = -0.39, Adult ratings, ß = -0.13, and BOI differences scores, ß = -0.16. See Table 2 for estimates of all model parameters.</w:t>
      </w:r>
    </w:p>
    <w:p>
      <w:pPr>
        <w:pStyle w:val="Textkrper"/>
      </w:pPr>
      <w:r>
        <w:rPr>
          <w:b/>
        </w:rPr>
        <w:t xml:space="preserve">Table 3</w:t>
      </w:r>
    </w:p>
    <w:p>
      <w:pPr>
        <w:pStyle w:val="Compact"/>
      </w:pPr>
      <w:r>
        <w:t xml:space="preserve">(#tab:show table 3)</w:t>
      </w:r>
    </w:p>
    <w:p>
      <w:pPr>
        <w:pStyle w:val="Compact"/>
        <w:pStyle w:val="TableCaption"/>
      </w:pPr>
      <w:r>
        <w:rPr>
          <w:i/>
        </w:rPr>
        <w:t xml:space="preserve">Regression Coefficients from Item-Level Analyses Predicting MCDI Age of Acquisition (N = 407)</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w:r>
              <w:t xml:space="preserve">child_MCDI_beta</w:t>
            </w:r>
          </w:p>
        </w:tc>
        <w:tc>
          <w:tcPr>
            <w:tcBorders>
              <w:bottom w:val="single"/>
            </w:tcBorders>
            <w:vAlign w:val="bottom"/>
          </w:tcPr>
          <w:p>
            <w:pPr>
              <w:pStyle w:val="Compact"/>
              <w:jc w:val="left"/>
            </w:pPr>
            <w:r>
              <w:t xml:space="preserve">child_MCDI_se</w:t>
            </w:r>
          </w:p>
        </w:tc>
        <w:tc>
          <w:tcPr>
            <w:tcBorders>
              <w:bottom w:val="single"/>
            </w:tcBorders>
            <w:vAlign w:val="bottom"/>
          </w:tcPr>
          <w:p>
            <w:pPr>
              <w:pStyle w:val="Compact"/>
              <w:jc w:val="left"/>
            </w:pPr>
            <w:r>
              <w:t xml:space="preserve">child_MCDI_t</w:t>
            </w:r>
          </w:p>
        </w:tc>
        <w:tc>
          <w:tcPr>
            <w:tcBorders>
              <w:bottom w:val="single"/>
            </w:tcBorders>
            <w:vAlign w:val="bottom"/>
          </w:tcPr>
          <w:p>
            <w:pPr>
              <w:pStyle w:val="Compact"/>
              <w:jc w:val="left"/>
            </w:pPr>
            <w:r>
              <w:t xml:space="preserve">child_MCDI_p</w:t>
            </w:r>
          </w:p>
        </w:tc>
        <w:tc>
          <w:tcPr>
            <w:tcBorders>
              <w:bottom w:val="single"/>
            </w:tcBorders>
            <w:vAlign w:val="bottom"/>
          </w:tcPr>
          <w:p>
            <w:pPr>
              <w:pStyle w:val="Compact"/>
              <w:jc w:val="left"/>
            </w:pPr>
            <w:r>
              <w:t xml:space="preserve">child_MCDI_R2</w:t>
            </w:r>
          </w:p>
        </w:tc>
        <w:tc>
          <w:tcPr>
            <w:tcBorders>
              <w:bottom w:val="single"/>
            </w:tcBorders>
            <w:vAlign w:val="bottom"/>
          </w:tcPr>
          <w:p>
            <w:pPr>
              <w:pStyle w:val="Compact"/>
              <w:jc w:val="left"/>
            </w:pPr>
            <w:r>
              <w:t xml:space="preserve">child_MCDI_delta</w:t>
            </w:r>
          </w:p>
        </w:tc>
        <w:tc>
          <w:tcPr>
            <w:tcBorders>
              <w:bottom w:val="single"/>
            </w:tcBorders>
            <w:vAlign w:val="bottom"/>
          </w:tcPr>
          <w:p>
            <w:pPr>
              <w:pStyle w:val="Compact"/>
              <w:jc w:val="left"/>
            </w:pPr>
            <w:r>
              <w:t xml:space="preserve">child_MCDI_deltap</w:t>
            </w:r>
          </w:p>
        </w:tc>
        <w:tc>
          <w:tcPr>
            <w:tcBorders>
              <w:bottom w:val="single"/>
            </w:tcBorders>
            <w:vAlign w:val="bottom"/>
          </w:tcPr>
          <w:p>
            <w:pPr>
              <w:pStyle w:val="Compact"/>
              <w:jc w:val="left"/>
            </w:pPr>
            <w:r>
              <w:t xml:space="preserve">adult_MCDI_beta</w:t>
            </w:r>
          </w:p>
        </w:tc>
        <w:tc>
          <w:tcPr>
            <w:tcBorders>
              <w:bottom w:val="single"/>
            </w:tcBorders>
            <w:vAlign w:val="bottom"/>
          </w:tcPr>
          <w:p>
            <w:pPr>
              <w:pStyle w:val="Compact"/>
              <w:jc w:val="left"/>
            </w:pPr>
            <w:r>
              <w:t xml:space="preserve">adult_MCDI_se</w:t>
            </w:r>
          </w:p>
        </w:tc>
        <w:tc>
          <w:tcPr>
            <w:tcBorders>
              <w:bottom w:val="single"/>
            </w:tcBorders>
            <w:vAlign w:val="bottom"/>
          </w:tcPr>
          <w:p>
            <w:pPr>
              <w:pStyle w:val="Compact"/>
              <w:jc w:val="left"/>
            </w:pPr>
            <w:r>
              <w:t xml:space="preserve">adult_MCDI_t</w:t>
            </w:r>
          </w:p>
        </w:tc>
        <w:tc>
          <w:tcPr>
            <w:tcBorders>
              <w:bottom w:val="single"/>
            </w:tcBorders>
            <w:vAlign w:val="bottom"/>
          </w:tcPr>
          <w:p>
            <w:pPr>
              <w:pStyle w:val="Compact"/>
              <w:jc w:val="left"/>
            </w:pPr>
            <w:r>
              <w:t xml:space="preserve">adult_MCDI_p</w:t>
            </w:r>
          </w:p>
        </w:tc>
        <w:tc>
          <w:tcPr>
            <w:tcBorders>
              <w:bottom w:val="single"/>
            </w:tcBorders>
            <w:vAlign w:val="bottom"/>
          </w:tcPr>
          <w:p>
            <w:pPr>
              <w:pStyle w:val="Compact"/>
              <w:jc w:val="left"/>
            </w:pPr>
            <w:r>
              <w:t xml:space="preserve">adult_MCDI_R2</w:t>
            </w:r>
          </w:p>
        </w:tc>
        <w:tc>
          <w:tcPr>
            <w:tcBorders>
              <w:bottom w:val="single"/>
            </w:tcBorders>
            <w:vAlign w:val="bottom"/>
          </w:tcPr>
          <w:p>
            <w:pPr>
              <w:pStyle w:val="Compact"/>
              <w:jc w:val="left"/>
            </w:pPr>
            <w:r>
              <w:t xml:space="preserve">adult_MCDI_delta</w:t>
            </w:r>
          </w:p>
        </w:tc>
        <w:tc>
          <w:tcPr>
            <w:tcBorders>
              <w:bottom w:val="single"/>
            </w:tcBorders>
            <w:vAlign w:val="bottom"/>
          </w:tcPr>
          <w:p>
            <w:pPr>
              <w:pStyle w:val="Compact"/>
              <w:jc w:val="left"/>
            </w:pPr>
            <w:r>
              <w:t xml:space="preserve">adult_MCDI_deltap</w:t>
            </w:r>
          </w:p>
        </w:tc>
        <w:tc>
          <w:tcPr>
            <w:tcBorders>
              <w:bottom w:val="single"/>
            </w:tcBorders>
            <w:vAlign w:val="bottom"/>
          </w:tcPr>
          <w:p>
            <w:pPr>
              <w:pStyle w:val="Compact"/>
              <w:jc w:val="left"/>
            </w:pPr>
            <w:r>
              <w:t xml:space="preserve">diff_MCDI_beta</w:t>
            </w:r>
          </w:p>
        </w:tc>
        <w:tc>
          <w:tcPr>
            <w:tcBorders>
              <w:bottom w:val="single"/>
            </w:tcBorders>
            <w:vAlign w:val="bottom"/>
          </w:tcPr>
          <w:p>
            <w:pPr>
              <w:pStyle w:val="Compact"/>
              <w:jc w:val="left"/>
            </w:pPr>
            <w:r>
              <w:t xml:space="preserve">diff_MCDI_se</w:t>
            </w:r>
          </w:p>
        </w:tc>
        <w:tc>
          <w:tcPr>
            <w:tcBorders>
              <w:bottom w:val="single"/>
            </w:tcBorders>
            <w:vAlign w:val="bottom"/>
          </w:tcPr>
          <w:p>
            <w:pPr>
              <w:pStyle w:val="Compact"/>
              <w:jc w:val="left"/>
            </w:pPr>
            <w:r>
              <w:t xml:space="preserve">diff_MCDI_t</w:t>
            </w:r>
          </w:p>
        </w:tc>
        <w:tc>
          <w:tcPr>
            <w:tcBorders>
              <w:bottom w:val="single"/>
            </w:tcBorders>
            <w:vAlign w:val="bottom"/>
          </w:tcPr>
          <w:p>
            <w:pPr>
              <w:pStyle w:val="Compact"/>
              <w:jc w:val="left"/>
            </w:pPr>
            <w:r>
              <w:t xml:space="preserve">diff_MCDI_p</w:t>
            </w:r>
          </w:p>
        </w:tc>
        <w:tc>
          <w:tcPr>
            <w:tcBorders>
              <w:bottom w:val="single"/>
            </w:tcBorders>
            <w:vAlign w:val="bottom"/>
          </w:tcPr>
          <w:p>
            <w:pPr>
              <w:pStyle w:val="Compact"/>
              <w:jc w:val="left"/>
            </w:pPr>
            <w:r>
              <w:t xml:space="preserve">diff_MCDI_R2</w:t>
            </w:r>
          </w:p>
        </w:tc>
        <w:tc>
          <w:tcPr>
            <w:tcBorders>
              <w:bottom w:val="single"/>
            </w:tcBorders>
            <w:vAlign w:val="bottom"/>
          </w:tcPr>
          <w:p>
            <w:pPr>
              <w:pStyle w:val="Compact"/>
              <w:jc w:val="left"/>
            </w:pPr>
            <w:r>
              <w:t xml:space="preserve">diff_MCDI_delta</w:t>
            </w:r>
          </w:p>
        </w:tc>
        <w:tc>
          <w:tcPr>
            <w:tcBorders>
              <w:bottom w:val="single"/>
            </w:tcBorders>
            <w:vAlign w:val="bottom"/>
          </w:tcPr>
          <w:p>
            <w:pPr>
              <w:pStyle w:val="Compact"/>
              <w:jc w:val="left"/>
            </w:pPr>
            <w:r>
              <w:t xml:space="preserve">diff_MCDI_deltap</w:t>
            </w:r>
          </w:p>
        </w:tc>
      </w:tr>
      <w:tr>
        <w:tc>
          <w:p>
            <w:pPr>
              <w:pStyle w:val="Compact"/>
              <w:jc w:val="left"/>
            </w:pPr>
            <w:r>
              <w:t xml:space="preserve">(Intercept)</w:t>
            </w:r>
          </w:p>
        </w:tc>
        <w:tc>
          <w:p>
            <w:pPr>
              <w:pStyle w:val="Compact"/>
              <w:jc w:val="left"/>
            </w:pPr>
            <w:r>
              <w:t xml:space="preserve">Intercept</w:t>
            </w:r>
          </w:p>
        </w:tc>
        <w:tc>
          <w:p>
            <w:pPr>
              <w:pStyle w:val="Compact"/>
              <w:jc w:val="left"/>
            </w:pPr>
            <w:r>
              <w:t xml:space="preserve">0.00</w:t>
            </w:r>
          </w:p>
        </w:tc>
        <w:tc>
          <w:p>
            <w:pPr>
              <w:pStyle w:val="Compact"/>
              <w:jc w:val="left"/>
            </w:pPr>
            <w:r>
              <w:t xml:space="preserve">0.04</w:t>
            </w:r>
          </w:p>
        </w:tc>
        <w:tc>
          <w:p>
            <w:pPr>
              <w:pStyle w:val="Compact"/>
              <w:jc w:val="left"/>
            </w:pPr>
            <w:r>
              <w:t xml:space="preserve">0.00</w:t>
            </w:r>
          </w:p>
        </w:tc>
        <w:tc>
          <w:p>
            <w:pPr>
              <w:pStyle w:val="Compact"/>
              <w:jc w:val="left"/>
            </w:pPr>
            <w:r>
              <w:t xml:space="preserve">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0.00</w:t>
            </w:r>
          </w:p>
        </w:tc>
        <w:tc>
          <w:p>
            <w:pPr>
              <w:pStyle w:val="Compact"/>
              <w:jc w:val="left"/>
            </w:pPr>
            <w:r>
              <w:t xml:space="preserve">0.04</w:t>
            </w:r>
          </w:p>
        </w:tc>
        <w:tc>
          <w:p>
            <w:pPr>
              <w:pStyle w:val="Compact"/>
              <w:jc w:val="left"/>
            </w:pPr>
            <w:r>
              <w:t xml:space="preserve">0.00</w:t>
            </w:r>
          </w:p>
        </w:tc>
        <w:tc>
          <w:p>
            <w:pPr>
              <w:pStyle w:val="Compact"/>
              <w:jc w:val="left"/>
            </w:pPr>
            <w:r>
              <w:t xml:space="preserve">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0.00</w:t>
            </w:r>
          </w:p>
        </w:tc>
        <w:tc>
          <w:p>
            <w:pPr>
              <w:pStyle w:val="Compact"/>
              <w:jc w:val="left"/>
            </w:pPr>
            <w:r>
              <w:t xml:space="preserve">0.04</w:t>
            </w:r>
          </w:p>
        </w:tc>
        <w:tc>
          <w:p>
            <w:pPr>
              <w:pStyle w:val="Compact"/>
              <w:jc w:val="left"/>
            </w:pPr>
            <w:r>
              <w:t xml:space="preserve">0.00</w:t>
            </w:r>
          </w:p>
        </w:tc>
        <w:tc>
          <w:p>
            <w:pPr>
              <w:pStyle w:val="Compact"/>
              <w:jc w:val="left"/>
            </w:pPr>
            <w:r>
              <w:t xml:space="preserve">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Childes_lgFreq.z</w:t>
            </w:r>
          </w:p>
        </w:tc>
        <w:tc>
          <w:p>
            <w:pPr>
              <w:pStyle w:val="Compact"/>
              <w:jc w:val="left"/>
            </w:pPr>
            <w:r>
              <w:t xml:space="preserve">log CHILDES Frequency</w:t>
            </w:r>
          </w:p>
        </w:tc>
        <w:tc>
          <w:p>
            <w:pPr>
              <w:pStyle w:val="Compact"/>
              <w:jc w:val="left"/>
            </w:pPr>
            <w:r>
              <w:t xml:space="preserve">-0.53</w:t>
            </w:r>
          </w:p>
        </w:tc>
        <w:tc>
          <w:p>
            <w:pPr>
              <w:pStyle w:val="Compact"/>
              <w:jc w:val="left"/>
            </w:pPr>
            <w:r>
              <w:t xml:space="preserve">0.06</w:t>
            </w:r>
          </w:p>
        </w:tc>
        <w:tc>
          <w:p>
            <w:pPr>
              <w:pStyle w:val="Compact"/>
              <w:jc w:val="left"/>
            </w:pPr>
            <w:r>
              <w:t xml:space="preserve">-9.44</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-0.58</w:t>
            </w:r>
          </w:p>
        </w:tc>
        <w:tc>
          <w:p>
            <w:pPr>
              <w:pStyle w:val="Compact"/>
              <w:jc w:val="left"/>
            </w:pPr>
            <w:r>
              <w:t xml:space="preserve">0.06</w:t>
            </w:r>
          </w:p>
        </w:tc>
        <w:tc>
          <w:p>
            <w:pPr>
              <w:pStyle w:val="Compact"/>
              <w:jc w:val="left"/>
            </w:pPr>
            <w:r>
              <w:t xml:space="preserve">-9.91</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-0.60</w:t>
            </w:r>
          </w:p>
        </w:tc>
        <w:tc>
          <w:p>
            <w:pPr>
              <w:pStyle w:val="Compact"/>
              <w:jc w:val="left"/>
            </w:pPr>
            <w:r>
              <w:t xml:space="preserve">0.06</w:t>
            </w:r>
          </w:p>
        </w:tc>
        <w:tc>
          <w:p>
            <w:pPr>
              <w:pStyle w:val="Compact"/>
              <w:jc w:val="left"/>
            </w:pPr>
            <w:r>
              <w:t xml:space="preserve">-10.40</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Length.z</w:t>
            </w:r>
          </w:p>
        </w:tc>
        <w:tc>
          <w:p>
            <w:pPr>
              <w:pStyle w:val="Compact"/>
              <w:jc w:val="left"/>
            </w:pPr>
            <w:r>
              <w:t xml:space="preserve">Length</w:t>
            </w:r>
          </w:p>
        </w:tc>
        <w:tc>
          <w:p>
            <w:pPr>
              <w:pStyle w:val="Compact"/>
              <w:jc w:val="left"/>
            </w:pPr>
            <w:r>
              <w:t xml:space="preserve">0.15</w:t>
            </w:r>
          </w:p>
        </w:tc>
        <w:tc>
          <w:p>
            <w:pPr>
              <w:pStyle w:val="Compact"/>
              <w:jc w:val="left"/>
            </w:pPr>
            <w:r>
              <w:t xml:space="preserve">0.04</w:t>
            </w:r>
          </w:p>
        </w:tc>
        <w:tc>
          <w:p>
            <w:pPr>
              <w:pStyle w:val="Compact"/>
              <w:jc w:val="left"/>
            </w:pPr>
            <w:r>
              <w:t xml:space="preserve">3.30</w:t>
            </w:r>
          </w:p>
        </w:tc>
        <w:tc>
          <w:p>
            <w:pPr>
              <w:pStyle w:val="Compact"/>
              <w:jc w:val="left"/>
            </w:pPr>
            <w:r>
              <w:t xml:space="preserve">0.001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0.14</w:t>
            </w:r>
          </w:p>
        </w:tc>
        <w:tc>
          <w:p>
            <w:pPr>
              <w:pStyle w:val="Compact"/>
              <w:jc w:val="left"/>
            </w:pPr>
            <w:r>
              <w:t xml:space="preserve">0.05</w:t>
            </w:r>
          </w:p>
        </w:tc>
        <w:tc>
          <w:p>
            <w:pPr>
              <w:pStyle w:val="Compact"/>
              <w:jc w:val="left"/>
            </w:pPr>
            <w:r>
              <w:t xml:space="preserve">3.05</w:t>
            </w:r>
          </w:p>
        </w:tc>
        <w:tc>
          <w:p>
            <w:pPr>
              <w:pStyle w:val="Compact"/>
              <w:jc w:val="left"/>
            </w:pPr>
            <w:r>
              <w:t xml:space="preserve">0.002</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0.15</w:t>
            </w:r>
          </w:p>
        </w:tc>
        <w:tc>
          <w:p>
            <w:pPr>
              <w:pStyle w:val="Compact"/>
              <w:jc w:val="left"/>
            </w:pPr>
            <w:r>
              <w:t xml:space="preserve">0.05</w:t>
            </w:r>
          </w:p>
        </w:tc>
        <w:tc>
          <w:p>
            <w:pPr>
              <w:pStyle w:val="Compact"/>
              <w:jc w:val="left"/>
            </w:pPr>
            <w:r>
              <w:t xml:space="preserve">3.13</w:t>
            </w:r>
          </w:p>
        </w:tc>
        <w:tc>
          <w:p>
            <w:pPr>
              <w:pStyle w:val="Compact"/>
              <w:jc w:val="left"/>
            </w:pPr>
            <w:r>
              <w:t xml:space="preserve">0.002</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Image.z</w:t>
            </w:r>
          </w:p>
        </w:tc>
        <w:tc>
          <w:p>
            <w:pPr>
              <w:pStyle w:val="Compact"/>
              <w:jc w:val="left"/>
            </w:pPr>
            <w:r>
              <w:t xml:space="preserve">Imageability</w:t>
            </w:r>
          </w:p>
        </w:tc>
        <w:tc>
          <w:p>
            <w:pPr>
              <w:pStyle w:val="Compact"/>
              <w:jc w:val="left"/>
            </w:pPr>
            <w:r>
              <w:t xml:space="preserve">-0.44</w:t>
            </w:r>
          </w:p>
        </w:tc>
        <w:tc>
          <w:p>
            <w:pPr>
              <w:pStyle w:val="Compact"/>
              <w:jc w:val="left"/>
            </w:pPr>
            <w:r>
              <w:t xml:space="preserve">0.08</w:t>
            </w:r>
          </w:p>
        </w:tc>
        <w:tc>
          <w:p>
            <w:pPr>
              <w:pStyle w:val="Compact"/>
              <w:jc w:val="left"/>
            </w:pPr>
            <w:r>
              <w:t xml:space="preserve">-5.91</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-0.66</w:t>
            </w:r>
          </w:p>
        </w:tc>
        <w:tc>
          <w:p>
            <w:pPr>
              <w:pStyle w:val="Compact"/>
              <w:jc w:val="left"/>
            </w:pPr>
            <w:r>
              <w:t xml:space="preserve">0.08</w:t>
            </w:r>
          </w:p>
        </w:tc>
        <w:tc>
          <w:p>
            <w:pPr>
              <w:pStyle w:val="Compact"/>
              <w:jc w:val="left"/>
            </w:pPr>
            <w:r>
              <w:t xml:space="preserve">-8.09</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-0.85</w:t>
            </w:r>
          </w:p>
        </w:tc>
        <w:tc>
          <w:p>
            <w:pPr>
              <w:pStyle w:val="Compact"/>
              <w:jc w:val="left"/>
            </w:pPr>
            <w:r>
              <w:t xml:space="preserve">0.06</w:t>
            </w:r>
          </w:p>
        </w:tc>
        <w:tc>
          <w:p>
            <w:pPr>
              <w:pStyle w:val="Compact"/>
              <w:jc w:val="left"/>
            </w:pPr>
            <w:r>
              <w:t xml:space="preserve">-14.03</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Child_BOI.z</w:t>
            </w:r>
          </w:p>
        </w:tc>
        <w:tc>
          <w:p>
            <w:pPr>
              <w:pStyle w:val="Compact"/>
              <w:jc w:val="left"/>
            </w:pPr>
            <w:r>
              <w:t xml:space="preserve">BOI</w:t>
            </w:r>
          </w:p>
        </w:tc>
        <w:tc>
          <w:p>
            <w:pPr>
              <w:pStyle w:val="Compact"/>
              <w:jc w:val="left"/>
            </w:pPr>
            <w:r>
              <w:t xml:space="preserve">-0.39</w:t>
            </w:r>
          </w:p>
        </w:tc>
        <w:tc>
          <w:p>
            <w:pPr>
              <w:pStyle w:val="Compact"/>
              <w:jc w:val="left"/>
            </w:pPr>
            <w:r>
              <w:t xml:space="preserve">0.06</w:t>
            </w:r>
          </w:p>
        </w:tc>
        <w:tc>
          <w:p>
            <w:pPr>
              <w:pStyle w:val="Compact"/>
              <w:jc w:val="left"/>
            </w:pPr>
            <w:r>
              <w:t xml:space="preserve">-6.54</w:t>
            </w:r>
          </w:p>
        </w:tc>
        <w:tc>
          <w:p>
            <w:pPr>
              <w:pStyle w:val="Compact"/>
              <w:jc w:val="left"/>
            </w:pPr>
            <w:r>
              <w:t xml:space="preserve">&lt; .001</w:t>
            </w:r>
          </w:p>
        </w:tc>
        <w:tc>
          <w:p>
            <w:pPr>
              <w:pStyle w:val="Compact"/>
              <w:jc w:val="left"/>
            </w:pPr>
            <w:r>
              <w:t xml:space="preserve">0.38</w:t>
            </w:r>
          </w:p>
        </w:tc>
        <w:tc>
          <w:p>
            <w:pPr>
              <w:pStyle w:val="Compact"/>
              <w:jc w:val="left"/>
            </w:pPr>
            <w:r>
              <w:t xml:space="preserve">0.07</w:t>
            </w:r>
          </w:p>
        </w:tc>
        <w:tc>
          <w:p>
            <w:pPr>
              <w:pStyle w:val="Compact"/>
              <w:jc w:val="left"/>
            </w:pPr>
            <w:r>
              <w:t xml:space="preserve">&lt; .001</w:t>
            </w:r>
          </w:p>
        </w:tc>
        <w:tc>
          <w:p>
            <w:pPr>
              <w:pStyle w:val="Compact"/>
              <w:jc w:val="left"/>
            </w:pPr>
            <w:r>
              <w:t xml:space="preserve">-0.13</w:t>
            </w:r>
          </w:p>
        </w:tc>
        <w:tc>
          <w:p>
            <w:pPr>
              <w:pStyle w:val="Compact"/>
              <w:jc w:val="left"/>
            </w:pPr>
            <w:r>
              <w:t xml:space="preserve">0.07</w:t>
            </w:r>
          </w:p>
        </w:tc>
        <w:tc>
          <w:p>
            <w:pPr>
              <w:pStyle w:val="Compact"/>
              <w:jc w:val="left"/>
            </w:pPr>
            <w:r>
              <w:t xml:space="preserve">-2.02</w:t>
            </w:r>
          </w:p>
        </w:tc>
        <w:tc>
          <w:p>
            <w:pPr>
              <w:pStyle w:val="Compact"/>
              <w:jc w:val="left"/>
            </w:pPr>
            <w:r>
              <w:t xml:space="preserve">0.044</w:t>
            </w:r>
          </w:p>
        </w:tc>
        <w:tc>
          <w:p>
            <w:pPr>
              <w:pStyle w:val="Compact"/>
              <w:jc w:val="left"/>
            </w:pPr>
            <w:r>
              <w:t xml:space="preserve">0.32</w:t>
            </w:r>
          </w:p>
        </w:tc>
        <w:tc>
          <w:p>
            <w:pPr>
              <w:pStyle w:val="Compact"/>
              <w:jc w:val="left"/>
            </w:pPr>
            <w:r>
              <w:t xml:space="preserve">0.01</w:t>
            </w:r>
          </w:p>
        </w:tc>
        <w:tc>
          <w:p>
            <w:pPr>
              <w:pStyle w:val="Compact"/>
              <w:jc w:val="left"/>
            </w:pPr>
            <w:r>
              <w:t xml:space="preserve">0.044</w:t>
            </w:r>
          </w:p>
        </w:tc>
        <w:tc>
          <w:p>
            <w:pPr>
              <w:pStyle w:val="Compact"/>
              <w:jc w:val="left"/>
            </w:pPr>
            <w:r>
              <w:t xml:space="preserve">-0.16</w:t>
            </w:r>
          </w:p>
        </w:tc>
        <w:tc>
          <w:p>
            <w:pPr>
              <w:pStyle w:val="Compact"/>
              <w:jc w:val="left"/>
            </w:pPr>
            <w:r>
              <w:t xml:space="preserve">0.05</w:t>
            </w:r>
          </w:p>
        </w:tc>
        <w:tc>
          <w:p>
            <w:pPr>
              <w:pStyle w:val="Compact"/>
              <w:jc w:val="left"/>
            </w:pPr>
            <w:r>
              <w:t xml:space="preserve">-3.59</w:t>
            </w:r>
          </w:p>
        </w:tc>
        <w:tc>
          <w:p>
            <w:pPr>
              <w:pStyle w:val="Compact"/>
              <w:jc w:val="left"/>
            </w:pPr>
            <w:r>
              <w:t xml:space="preserve">&lt; .001</w:t>
            </w:r>
          </w:p>
        </w:tc>
        <w:tc>
          <w:p>
            <w:pPr>
              <w:pStyle w:val="Compact"/>
              <w:jc w:val="left"/>
            </w:pPr>
            <w:r>
              <w:t xml:space="preserve">0.33</w:t>
            </w:r>
          </w:p>
        </w:tc>
        <w:tc>
          <w:p>
            <w:pPr>
              <w:pStyle w:val="Compact"/>
              <w:jc w:val="left"/>
            </w:pPr>
            <w:r>
              <w:t xml:space="preserve">0.02</w:t>
            </w:r>
          </w:p>
        </w:tc>
        <w:tc>
          <w:p>
            <w:pPr>
              <w:pStyle w:val="Compact"/>
              <w:jc w:val="left"/>
            </w:pPr>
            <w:r>
              <w:t xml:space="preserve">&lt; .001</w:t>
            </w:r>
          </w:p>
        </w:tc>
      </w:tr>
    </w:tbl>
    <w:p>
      <w:pPr>
        <w:pStyle w:val="Compact"/>
      </w:pPr>
      <w:r>
        <w:rPr>
          <w:i/>
        </w:rPr>
        <w:t xml:space="preserve">Note.</w:t>
      </w:r>
      <w:r>
        <w:t xml:space="preserve"> </w:t>
      </w:r>
      <w:r>
        <w:t xml:space="preserve">MCDI</w:t>
      </w:r>
    </w:p>
    <w:p>
      <w:pPr>
        <w:pStyle w:val="Textkrper"/>
      </w:pPr>
      <w:r>
        <w:t xml:space="preserve"> </w:t>
      </w:r>
    </w:p>
    <w:p>
      <w:pPr>
        <w:pStyle w:val="Textkrper"/>
      </w:pPr>
      <w:r>
        <w:rPr>
          <w:i/>
        </w:rPr>
        <w:t xml:space="preserve">Test-based AoA</w:t>
      </w:r>
    </w:p>
    <w:p>
      <w:pPr>
        <w:pStyle w:val="Textkrper"/>
      </w:pPr>
      <w:r>
        <w:t xml:space="preserve">A model with only the predictors log CHILDES frequency, length, and imageability was used to predict test-based AoA at grades 2, 4, and 6. A Likelihood Ratio Test (LRT) was used to assess improvement in model fit with the addition of the three BOI measures of interest to this base model. The addition of Child BOI ratings significantly improved the model fit, LRT = 11.95,</w:t>
      </w:r>
      <w:r>
        <w:t xml:space="preserve"> </w:t>
      </w:r>
      <w:r>
        <w:rPr>
          <w:i/>
        </w:rPr>
        <w:t xml:space="preserve">p</w:t>
      </w:r>
      <w:r>
        <w:t xml:space="preserve"> </w:t>
      </w:r>
      <w:r>
        <w:t xml:space="preserve">= 0.001, as did the addition of BOI difference, LRT = 22.54,</w:t>
      </w:r>
      <w:r>
        <w:t xml:space="preserve"> </w:t>
      </w:r>
      <w:r>
        <w:rPr>
          <w:i/>
        </w:rPr>
        <w:t xml:space="preserve">p</w:t>
      </w:r>
      <w:r>
        <w:t xml:space="preserve"> </w:t>
      </w:r>
      <w:r>
        <w:t xml:space="preserve">= &lt; .001. The addition of Adult BOI ratings did not result in as large an improvement in model fit as the prior two models, but the improvement was still significant, LRT = 3.43,</w:t>
      </w:r>
      <w:r>
        <w:t xml:space="preserve"> </w:t>
      </w:r>
      <w:r>
        <w:rPr>
          <w:i/>
        </w:rPr>
        <w:t xml:space="preserve">p</w:t>
      </w:r>
      <w:r>
        <w:t xml:space="preserve"> </w:t>
      </w:r>
      <w:r>
        <w:t xml:space="preserve">= 0.064. For every unit increase in BOI rating, the odds of a word being acquired at an older grade (i.e., grades 4 or 6) decreased for both Child ratings and BOI difference scores (OR = 0.81 and OR = 0.77 respectively), whereas the odds of a word being acquired at an older grade increased for Adult ratings (OR = 1.12). See Table 3 for estimates of all model parameters.</w:t>
      </w:r>
    </w:p>
    <w:p>
      <w:pPr>
        <w:pStyle w:val="Textkrper"/>
      </w:pPr>
      <w:r>
        <w:rPr>
          <w:b/>
        </w:rPr>
        <w:t xml:space="preserve">Table 4</w:t>
      </w:r>
    </w:p>
    <w:p>
      <w:pPr>
        <w:pStyle w:val="Compact"/>
      </w:pPr>
      <w:r>
        <w:t xml:space="preserve">(#tab:show table 4)</w:t>
      </w:r>
    </w:p>
    <w:p>
      <w:pPr>
        <w:pStyle w:val="Compact"/>
        <w:pStyle w:val="TableCaption"/>
      </w:pPr>
      <w:r>
        <w:rPr>
          <w:i/>
        </w:rPr>
        <w:t xml:space="preserve">Regression Coefficients from Item-Level Analyses Predicting Test-based Age of Acquisition (N = 1,966)</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w:r>
              <w:t xml:space="preserve">Child_OR</w:t>
            </w:r>
          </w:p>
        </w:tc>
        <w:tc>
          <w:tcPr>
            <w:tcBorders>
              <w:bottom w:val="single"/>
            </w:tcBorders>
            <w:vAlign w:val="bottom"/>
          </w:tcPr>
          <w:p>
            <w:pPr>
              <w:pStyle w:val="Compact"/>
              <w:jc w:val="left"/>
            </w:pPr>
            <w:r>
              <w:t xml:space="preserve">Child_2.5 %</w:t>
            </w:r>
          </w:p>
        </w:tc>
        <w:tc>
          <w:tcPr>
            <w:tcBorders>
              <w:bottom w:val="single"/>
            </w:tcBorders>
            <w:vAlign w:val="bottom"/>
          </w:tcPr>
          <w:p>
            <w:pPr>
              <w:pStyle w:val="Compact"/>
              <w:jc w:val="left"/>
            </w:pPr>
            <w:r>
              <w:t xml:space="preserve">Child_97.5 %</w:t>
            </w:r>
          </w:p>
        </w:tc>
        <w:tc>
          <w:tcPr>
            <w:tcBorders>
              <w:bottom w:val="single"/>
            </w:tcBorders>
            <w:vAlign w:val="bottom"/>
          </w:tcPr>
          <w:p>
            <w:pPr>
              <w:pStyle w:val="Compact"/>
              <w:jc w:val="left"/>
            </w:pPr>
            <w:r>
              <w:t xml:space="preserve">Child_t value</w:t>
            </w:r>
          </w:p>
        </w:tc>
        <w:tc>
          <w:tcPr>
            <w:tcBorders>
              <w:bottom w:val="single"/>
            </w:tcBorders>
            <w:vAlign w:val="bottom"/>
          </w:tcPr>
          <w:p>
            <w:pPr>
              <w:pStyle w:val="Compact"/>
              <w:jc w:val="left"/>
            </w:pPr>
            <w:r>
              <w:t xml:space="preserve">Child_p value</w:t>
            </w:r>
          </w:p>
        </w:tc>
        <w:tc>
          <w:tcPr>
            <w:tcBorders>
              <w:bottom w:val="single"/>
            </w:tcBorders>
            <w:vAlign w:val="bottom"/>
          </w:tcPr>
          <w:p>
            <w:pPr>
              <w:pStyle w:val="Compact"/>
              <w:jc w:val="left"/>
            </w:pPr>
            <w:r>
              <w:t xml:space="preserve">Child_LRT</w:t>
            </w:r>
          </w:p>
        </w:tc>
        <w:tc>
          <w:tcPr>
            <w:tcBorders>
              <w:bottom w:val="single"/>
            </w:tcBorders>
            <w:vAlign w:val="bottom"/>
          </w:tcPr>
          <w:p>
            <w:pPr>
              <w:pStyle w:val="Compact"/>
              <w:jc w:val="left"/>
            </w:pPr>
            <w:r>
              <w:t xml:space="preserve">Child_LRT p</w:t>
            </w:r>
          </w:p>
        </w:tc>
        <w:tc>
          <w:tcPr>
            <w:tcBorders>
              <w:bottom w:val="single"/>
            </w:tcBorders>
            <w:vAlign w:val="bottom"/>
          </w:tcPr>
          <w:p>
            <w:pPr>
              <w:pStyle w:val="Compact"/>
              <w:jc w:val="left"/>
            </w:pPr>
            <w:r>
              <w:t xml:space="preserve">Adult_OR</w:t>
            </w:r>
          </w:p>
        </w:tc>
        <w:tc>
          <w:tcPr>
            <w:tcBorders>
              <w:bottom w:val="single"/>
            </w:tcBorders>
            <w:vAlign w:val="bottom"/>
          </w:tcPr>
          <w:p>
            <w:pPr>
              <w:pStyle w:val="Compact"/>
              <w:jc w:val="left"/>
            </w:pPr>
            <w:r>
              <w:t xml:space="preserve">Adult_2.5 %</w:t>
            </w:r>
          </w:p>
        </w:tc>
        <w:tc>
          <w:tcPr>
            <w:tcBorders>
              <w:bottom w:val="single"/>
            </w:tcBorders>
            <w:vAlign w:val="bottom"/>
          </w:tcPr>
          <w:p>
            <w:pPr>
              <w:pStyle w:val="Compact"/>
              <w:jc w:val="left"/>
            </w:pPr>
            <w:r>
              <w:t xml:space="preserve">Adult_97.5 %</w:t>
            </w:r>
          </w:p>
        </w:tc>
        <w:tc>
          <w:tcPr>
            <w:tcBorders>
              <w:bottom w:val="single"/>
            </w:tcBorders>
            <w:vAlign w:val="bottom"/>
          </w:tcPr>
          <w:p>
            <w:pPr>
              <w:pStyle w:val="Compact"/>
              <w:jc w:val="left"/>
            </w:pPr>
            <w:r>
              <w:t xml:space="preserve">Adult_t value</w:t>
            </w:r>
          </w:p>
        </w:tc>
        <w:tc>
          <w:tcPr>
            <w:tcBorders>
              <w:bottom w:val="single"/>
            </w:tcBorders>
            <w:vAlign w:val="bottom"/>
          </w:tcPr>
          <w:p>
            <w:pPr>
              <w:pStyle w:val="Compact"/>
              <w:jc w:val="left"/>
            </w:pPr>
            <w:r>
              <w:t xml:space="preserve">Adult_p value</w:t>
            </w:r>
          </w:p>
        </w:tc>
        <w:tc>
          <w:tcPr>
            <w:tcBorders>
              <w:bottom w:val="single"/>
            </w:tcBorders>
            <w:vAlign w:val="bottom"/>
          </w:tcPr>
          <w:p>
            <w:pPr>
              <w:pStyle w:val="Compact"/>
              <w:jc w:val="left"/>
            </w:pPr>
            <w:r>
              <w:t xml:space="preserve">Adult_LRT</w:t>
            </w:r>
          </w:p>
        </w:tc>
        <w:tc>
          <w:tcPr>
            <w:tcBorders>
              <w:bottom w:val="single"/>
            </w:tcBorders>
            <w:vAlign w:val="bottom"/>
          </w:tcPr>
          <w:p>
            <w:pPr>
              <w:pStyle w:val="Compact"/>
              <w:jc w:val="left"/>
            </w:pPr>
            <w:r>
              <w:t xml:space="preserve">Adult_LRT p</w:t>
            </w:r>
          </w:p>
        </w:tc>
        <w:tc>
          <w:tcPr>
            <w:tcBorders>
              <w:bottom w:val="single"/>
            </w:tcBorders>
            <w:vAlign w:val="bottom"/>
          </w:tcPr>
          <w:p>
            <w:pPr>
              <w:pStyle w:val="Compact"/>
              <w:jc w:val="left"/>
            </w:pPr>
            <w:r>
              <w:t xml:space="preserve">Diff_OR</w:t>
            </w:r>
          </w:p>
        </w:tc>
        <w:tc>
          <w:tcPr>
            <w:tcBorders>
              <w:bottom w:val="single"/>
            </w:tcBorders>
            <w:vAlign w:val="bottom"/>
          </w:tcPr>
          <w:p>
            <w:pPr>
              <w:pStyle w:val="Compact"/>
              <w:jc w:val="left"/>
            </w:pPr>
            <w:r>
              <w:t xml:space="preserve">Diff_2.5 %</w:t>
            </w:r>
          </w:p>
        </w:tc>
        <w:tc>
          <w:tcPr>
            <w:tcBorders>
              <w:bottom w:val="single"/>
            </w:tcBorders>
            <w:vAlign w:val="bottom"/>
          </w:tcPr>
          <w:p>
            <w:pPr>
              <w:pStyle w:val="Compact"/>
              <w:jc w:val="left"/>
            </w:pPr>
            <w:r>
              <w:t xml:space="preserve">Diff_97.5 %</w:t>
            </w:r>
          </w:p>
        </w:tc>
        <w:tc>
          <w:tcPr>
            <w:tcBorders>
              <w:bottom w:val="single"/>
            </w:tcBorders>
            <w:vAlign w:val="bottom"/>
          </w:tcPr>
          <w:p>
            <w:pPr>
              <w:pStyle w:val="Compact"/>
              <w:jc w:val="left"/>
            </w:pPr>
            <w:r>
              <w:t xml:space="preserve">Diff_t value</w:t>
            </w:r>
          </w:p>
        </w:tc>
        <w:tc>
          <w:tcPr>
            <w:tcBorders>
              <w:bottom w:val="single"/>
            </w:tcBorders>
            <w:vAlign w:val="bottom"/>
          </w:tcPr>
          <w:p>
            <w:pPr>
              <w:pStyle w:val="Compact"/>
              <w:jc w:val="left"/>
            </w:pPr>
            <w:r>
              <w:t xml:space="preserve">Diff_p value</w:t>
            </w:r>
          </w:p>
        </w:tc>
        <w:tc>
          <w:tcPr>
            <w:tcBorders>
              <w:bottom w:val="single"/>
            </w:tcBorders>
            <w:vAlign w:val="bottom"/>
          </w:tcPr>
          <w:p>
            <w:pPr>
              <w:pStyle w:val="Compact"/>
              <w:jc w:val="left"/>
            </w:pPr>
            <w:r>
              <w:t xml:space="preserve">Diff_LRT</w:t>
            </w:r>
          </w:p>
        </w:tc>
        <w:tc>
          <w:tcPr>
            <w:tcBorders>
              <w:bottom w:val="single"/>
            </w:tcBorders>
            <w:vAlign w:val="bottom"/>
          </w:tcPr>
          <w:p>
            <w:pPr>
              <w:pStyle w:val="Compact"/>
              <w:jc w:val="left"/>
            </w:pPr>
            <w:r>
              <w:t xml:space="preserve">Diff_LRT p</w:t>
            </w:r>
          </w:p>
        </w:tc>
      </w:tr>
      <w:tr>
        <w:tc>
          <w:p>
            <w:pPr>
              <w:pStyle w:val="Compact"/>
              <w:jc w:val="left"/>
            </w:pPr>
            <w:r>
              <w:t xml:space="preserve">Childes_lgFreq</w:t>
            </w:r>
          </w:p>
        </w:tc>
        <w:tc>
          <w:p>
            <w:pPr>
              <w:pStyle w:val="Compact"/>
              <w:jc w:val="left"/>
            </w:pPr>
            <w:r>
              <w:t xml:space="preserve">0.29</w:t>
            </w:r>
          </w:p>
        </w:tc>
        <w:tc>
          <w:p>
            <w:pPr>
              <w:pStyle w:val="Compact"/>
              <w:jc w:val="left"/>
            </w:pPr>
            <w:r>
              <w:t xml:space="preserve">0.25</w:t>
            </w:r>
          </w:p>
        </w:tc>
        <w:tc>
          <w:p>
            <w:pPr>
              <w:pStyle w:val="Compact"/>
              <w:jc w:val="left"/>
            </w:pPr>
            <w:r>
              <w:t xml:space="preserve">0.35</w:t>
            </w:r>
          </w:p>
        </w:tc>
        <w:tc>
          <w:p>
            <w:pPr>
              <w:pStyle w:val="Compact"/>
              <w:jc w:val="left"/>
            </w:pPr>
            <w:r>
              <w:t xml:space="preserve">-14.79</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0.25</w:t>
            </w:r>
          </w:p>
        </w:tc>
        <w:tc>
          <w:p>
            <w:pPr>
              <w:pStyle w:val="Compact"/>
              <w:jc w:val="left"/>
            </w:pPr>
            <w:r>
              <w:t xml:space="preserve">0.22</w:t>
            </w:r>
          </w:p>
        </w:tc>
        <w:tc>
          <w:p>
            <w:pPr>
              <w:pStyle w:val="Compact"/>
              <w:jc w:val="left"/>
            </w:pPr>
            <w:r>
              <w:t xml:space="preserve">0.29</w:t>
            </w:r>
          </w:p>
        </w:tc>
        <w:tc>
          <w:p>
            <w:pPr>
              <w:pStyle w:val="Compact"/>
              <w:jc w:val="left"/>
            </w:pPr>
            <w:r>
              <w:t xml:space="preserve">-18.38</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0.29</w:t>
            </w:r>
          </w:p>
        </w:tc>
        <w:tc>
          <w:p>
            <w:pPr>
              <w:pStyle w:val="Compact"/>
              <w:jc w:val="left"/>
            </w:pPr>
            <w:r>
              <w:t xml:space="preserve">0.25</w:t>
            </w:r>
          </w:p>
        </w:tc>
        <w:tc>
          <w:p>
            <w:pPr>
              <w:pStyle w:val="Compact"/>
              <w:jc w:val="left"/>
            </w:pPr>
            <w:r>
              <w:t xml:space="preserve">0.34</w:t>
            </w:r>
          </w:p>
        </w:tc>
        <w:tc>
          <w:p>
            <w:pPr>
              <w:pStyle w:val="Compact"/>
              <w:jc w:val="left"/>
            </w:pPr>
            <w:r>
              <w:t xml:space="preserve">-15.75</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r>
      <w:tr>
        <w:tc>
          <w:p>
            <w:pPr>
              <w:pStyle w:val="Compact"/>
              <w:jc w:val="left"/>
            </w:pPr>
            <w:r>
              <w:t xml:space="preserve">Length</w:t>
            </w:r>
          </w:p>
        </w:tc>
        <w:tc>
          <w:p>
            <w:pPr>
              <w:pStyle w:val="Compact"/>
              <w:jc w:val="left"/>
            </w:pPr>
            <w:r>
              <w:t xml:space="preserve">1.11</w:t>
            </w:r>
          </w:p>
        </w:tc>
        <w:tc>
          <w:p>
            <w:pPr>
              <w:pStyle w:val="Compact"/>
              <w:jc w:val="left"/>
            </w:pPr>
            <w:r>
              <w:t xml:space="preserve">1.02</w:t>
            </w:r>
          </w:p>
        </w:tc>
        <w:tc>
          <w:p>
            <w:pPr>
              <w:pStyle w:val="Compact"/>
              <w:jc w:val="left"/>
            </w:pPr>
            <w:r>
              <w:t xml:space="preserve">1.21</w:t>
            </w:r>
          </w:p>
        </w:tc>
        <w:tc>
          <w:p>
            <w:pPr>
              <w:pStyle w:val="Compact"/>
              <w:jc w:val="left"/>
            </w:pPr>
            <w:r>
              <w:t xml:space="preserve">2.32</w:t>
            </w:r>
          </w:p>
        </w:tc>
        <w:tc>
          <w:p>
            <w:pPr>
              <w:pStyle w:val="Compact"/>
              <w:jc w:val="left"/>
            </w:pPr>
            <w:r>
              <w:t xml:space="preserve">0.02</w:t>
            </w:r>
          </w:p>
        </w:tc>
        <w:tc>
          <w:p>
            <w:pPr>
              <w:pStyle w:val="Compact"/>
              <w:jc w:val="left"/>
            </w:pPr>
            <w:r>
              <w:t xml:space="preserve">NA</w:t>
            </w:r>
          </w:p>
        </w:tc>
        <w:tc>
          <w:p>
            <w:pPr>
              <w:pStyle w:val="Compact"/>
              <w:jc w:val="left"/>
            </w:pPr>
            <w:r>
              <w:t xml:space="preserve">NA</w:t>
            </w:r>
          </w:p>
        </w:tc>
        <w:tc>
          <w:p>
            <w:pPr>
              <w:pStyle w:val="Compact"/>
              <w:jc w:val="left"/>
            </w:pPr>
            <w:r>
              <w:t xml:space="preserve">1.14</w:t>
            </w:r>
          </w:p>
        </w:tc>
        <w:tc>
          <w:p>
            <w:pPr>
              <w:pStyle w:val="Compact"/>
              <w:jc w:val="left"/>
            </w:pPr>
            <w:r>
              <w:t xml:space="preserve">1.04</w:t>
            </w:r>
          </w:p>
        </w:tc>
        <w:tc>
          <w:p>
            <w:pPr>
              <w:pStyle w:val="Compact"/>
              <w:jc w:val="left"/>
            </w:pPr>
            <w:r>
              <w:t xml:space="preserve">1.24</w:t>
            </w:r>
          </w:p>
        </w:tc>
        <w:tc>
          <w:p>
            <w:pPr>
              <w:pStyle w:val="Compact"/>
              <w:jc w:val="left"/>
            </w:pPr>
            <w:r>
              <w:t xml:space="preserve">2.84</w:t>
            </w:r>
          </w:p>
        </w:tc>
        <w:tc>
          <w:p>
            <w:pPr>
              <w:pStyle w:val="Compact"/>
              <w:jc w:val="left"/>
            </w:pPr>
            <w:r>
              <w:t xml:space="preserve">0.004</w:t>
            </w:r>
          </w:p>
        </w:tc>
        <w:tc>
          <w:p>
            <w:pPr>
              <w:pStyle w:val="Compact"/>
              <w:jc w:val="left"/>
            </w:pPr>
            <w:r>
              <w:t xml:space="preserve">NA</w:t>
            </w:r>
          </w:p>
        </w:tc>
        <w:tc>
          <w:p>
            <w:pPr>
              <w:pStyle w:val="Compact"/>
              <w:jc w:val="left"/>
            </w:pPr>
            <w:r>
              <w:t xml:space="preserve">NA</w:t>
            </w:r>
          </w:p>
        </w:tc>
        <w:tc>
          <w:p>
            <w:pPr>
              <w:pStyle w:val="Compact"/>
              <w:jc w:val="left"/>
            </w:pPr>
            <w:r>
              <w:t xml:space="preserve">1.15</w:t>
            </w:r>
          </w:p>
        </w:tc>
        <w:tc>
          <w:p>
            <w:pPr>
              <w:pStyle w:val="Compact"/>
              <w:jc w:val="left"/>
            </w:pPr>
            <w:r>
              <w:t xml:space="preserve">1.05</w:t>
            </w:r>
          </w:p>
        </w:tc>
        <w:tc>
          <w:p>
            <w:pPr>
              <w:pStyle w:val="Compact"/>
              <w:jc w:val="left"/>
            </w:pPr>
            <w:r>
              <w:t xml:space="preserve">1.25</w:t>
            </w:r>
          </w:p>
        </w:tc>
        <w:tc>
          <w:p>
            <w:pPr>
              <w:pStyle w:val="Compact"/>
              <w:jc w:val="left"/>
            </w:pPr>
            <w:r>
              <w:t xml:space="preserve">3.00</w:t>
            </w:r>
          </w:p>
        </w:tc>
        <w:tc>
          <w:p>
            <w:pPr>
              <w:pStyle w:val="Compact"/>
              <w:jc w:val="left"/>
            </w:pPr>
            <w:r>
              <w:t xml:space="preserve">0.003</w:t>
            </w:r>
          </w:p>
        </w:tc>
        <w:tc>
          <w:p>
            <w:pPr>
              <w:pStyle w:val="Compact"/>
              <w:jc w:val="left"/>
            </w:pPr>
            <w:r>
              <w:t xml:space="preserve">NA</w:t>
            </w:r>
          </w:p>
        </w:tc>
        <w:tc>
          <w:p>
            <w:pPr>
              <w:pStyle w:val="Compact"/>
              <w:jc w:val="left"/>
            </w:pPr>
            <w:r>
              <w:t xml:space="preserve">NA</w:t>
            </w:r>
          </w:p>
        </w:tc>
      </w:tr>
      <w:tr>
        <w:tc>
          <w:p>
            <w:pPr>
              <w:pStyle w:val="Compact"/>
              <w:jc w:val="left"/>
            </w:pPr>
            <w:r>
              <w:t xml:space="preserve">Image</w:t>
            </w:r>
          </w:p>
        </w:tc>
        <w:tc>
          <w:p>
            <w:pPr>
              <w:pStyle w:val="Compact"/>
              <w:jc w:val="left"/>
            </w:pPr>
            <w:r>
              <w:t xml:space="preserve">0.79</w:t>
            </w:r>
          </w:p>
        </w:tc>
        <w:tc>
          <w:p>
            <w:pPr>
              <w:pStyle w:val="Compact"/>
              <w:jc w:val="left"/>
            </w:pPr>
            <w:r>
              <w:t xml:space="preserve">0.71</w:t>
            </w:r>
          </w:p>
        </w:tc>
        <w:tc>
          <w:p>
            <w:pPr>
              <w:pStyle w:val="Compact"/>
              <w:jc w:val="left"/>
            </w:pPr>
            <w:r>
              <w:t xml:space="preserve">0.88</w:t>
            </w:r>
          </w:p>
        </w:tc>
        <w:tc>
          <w:p>
            <w:pPr>
              <w:pStyle w:val="Compact"/>
              <w:jc w:val="left"/>
            </w:pPr>
            <w:r>
              <w:t xml:space="preserve">-4.37</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0.63</w:t>
            </w:r>
          </w:p>
        </w:tc>
        <w:tc>
          <w:p>
            <w:pPr>
              <w:pStyle w:val="Compact"/>
              <w:jc w:val="left"/>
            </w:pPr>
            <w:r>
              <w:t xml:space="preserve">0.55</w:t>
            </w:r>
          </w:p>
        </w:tc>
        <w:tc>
          <w:p>
            <w:pPr>
              <w:pStyle w:val="Compact"/>
              <w:jc w:val="left"/>
            </w:pPr>
            <w:r>
              <w:t xml:space="preserve">0.73</w:t>
            </w:r>
          </w:p>
        </w:tc>
        <w:tc>
          <w:p>
            <w:pPr>
              <w:pStyle w:val="Compact"/>
              <w:jc w:val="left"/>
            </w:pPr>
            <w:r>
              <w:t xml:space="preserve">-6.43</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0.64</w:t>
            </w:r>
          </w:p>
        </w:tc>
        <w:tc>
          <w:p>
            <w:pPr>
              <w:pStyle w:val="Compact"/>
              <w:jc w:val="left"/>
            </w:pPr>
            <w:r>
              <w:t xml:space="preserve">0.58</w:t>
            </w:r>
          </w:p>
        </w:tc>
        <w:tc>
          <w:p>
            <w:pPr>
              <w:pStyle w:val="Compact"/>
              <w:jc w:val="left"/>
            </w:pPr>
            <w:r>
              <w:t xml:space="preserve">0.70</w:t>
            </w:r>
          </w:p>
        </w:tc>
        <w:tc>
          <w:p>
            <w:pPr>
              <w:pStyle w:val="Compact"/>
              <w:jc w:val="left"/>
            </w:pPr>
            <w:r>
              <w:t xml:space="preserve">-9.18</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r>
      <w:tr>
        <w:tc>
          <w:p>
            <w:pPr>
              <w:pStyle w:val="Compact"/>
              <w:jc w:val="left"/>
            </w:pPr>
            <w:r>
              <w:t xml:space="preserve">BOI</w:t>
            </w:r>
          </w:p>
        </w:tc>
        <w:tc>
          <w:p>
            <w:pPr>
              <w:pStyle w:val="Compact"/>
              <w:jc w:val="left"/>
            </w:pPr>
            <w:r>
              <w:t xml:space="preserve">0.81</w:t>
            </w:r>
          </w:p>
        </w:tc>
        <w:tc>
          <w:p>
            <w:pPr>
              <w:pStyle w:val="Compact"/>
              <w:jc w:val="left"/>
            </w:pPr>
            <w:r>
              <w:t xml:space="preserve">0.72</w:t>
            </w:r>
          </w:p>
        </w:tc>
        <w:tc>
          <w:p>
            <w:pPr>
              <w:pStyle w:val="Compact"/>
              <w:jc w:val="left"/>
            </w:pPr>
            <w:r>
              <w:t xml:space="preserve">0.91</w:t>
            </w:r>
          </w:p>
        </w:tc>
        <w:tc>
          <w:p>
            <w:pPr>
              <w:pStyle w:val="Compact"/>
              <w:jc w:val="left"/>
            </w:pPr>
            <w:r>
              <w:t xml:space="preserve">-3.44</w:t>
            </w:r>
          </w:p>
        </w:tc>
        <w:tc>
          <w:p>
            <w:pPr>
              <w:pStyle w:val="Compact"/>
              <w:jc w:val="left"/>
            </w:pPr>
            <w:r>
              <w:t xml:space="preserve">0.001</w:t>
            </w:r>
          </w:p>
        </w:tc>
        <w:tc>
          <w:p>
            <w:pPr>
              <w:pStyle w:val="Compact"/>
              <w:jc w:val="left"/>
            </w:pPr>
            <w:r>
              <w:t xml:space="preserve">NA</w:t>
            </w:r>
          </w:p>
        </w:tc>
        <w:tc>
          <w:p>
            <w:pPr>
              <w:pStyle w:val="Compact"/>
              <w:jc w:val="left"/>
            </w:pPr>
            <w:r>
              <w:t xml:space="preserve">NA</w:t>
            </w:r>
          </w:p>
        </w:tc>
        <w:tc>
          <w:p>
            <w:pPr>
              <w:pStyle w:val="Compact"/>
              <w:jc w:val="left"/>
            </w:pPr>
            <w:r>
              <w:t xml:space="preserve">1.12</w:t>
            </w:r>
          </w:p>
        </w:tc>
        <w:tc>
          <w:p>
            <w:pPr>
              <w:pStyle w:val="Compact"/>
              <w:jc w:val="left"/>
            </w:pPr>
            <w:r>
              <w:t xml:space="preserve">0.99</w:t>
            </w:r>
          </w:p>
        </w:tc>
        <w:tc>
          <w:p>
            <w:pPr>
              <w:pStyle w:val="Compact"/>
              <w:jc w:val="left"/>
            </w:pPr>
            <w:r>
              <w:t xml:space="preserve">1.26</w:t>
            </w:r>
          </w:p>
        </w:tc>
        <w:tc>
          <w:p>
            <w:pPr>
              <w:pStyle w:val="Compact"/>
              <w:jc w:val="left"/>
            </w:pPr>
            <w:r>
              <w:t xml:space="preserve">1.84</w:t>
            </w:r>
          </w:p>
        </w:tc>
        <w:tc>
          <w:p>
            <w:pPr>
              <w:pStyle w:val="Compact"/>
              <w:jc w:val="left"/>
            </w:pPr>
            <w:r>
              <w:t xml:space="preserve">0.065</w:t>
            </w:r>
          </w:p>
        </w:tc>
        <w:tc>
          <w:p>
            <w:pPr>
              <w:pStyle w:val="Compact"/>
              <w:jc w:val="left"/>
            </w:pPr>
            <w:r>
              <w:t xml:space="preserve">NA</w:t>
            </w:r>
          </w:p>
        </w:tc>
        <w:tc>
          <w:p>
            <w:pPr>
              <w:pStyle w:val="Compact"/>
              <w:jc w:val="left"/>
            </w:pPr>
            <w:r>
              <w:t xml:space="preserve">NA</w:t>
            </w:r>
          </w:p>
        </w:tc>
        <w:tc>
          <w:p>
            <w:pPr>
              <w:pStyle w:val="Compact"/>
              <w:jc w:val="left"/>
            </w:pPr>
            <w:r>
              <w:t xml:space="preserve">0.77</w:t>
            </w:r>
          </w:p>
        </w:tc>
        <w:tc>
          <w:p>
            <w:pPr>
              <w:pStyle w:val="Compact"/>
              <w:jc w:val="left"/>
            </w:pPr>
            <w:r>
              <w:t xml:space="preserve">0.70</w:t>
            </w:r>
          </w:p>
        </w:tc>
        <w:tc>
          <w:p>
            <w:pPr>
              <w:pStyle w:val="Compact"/>
              <w:jc w:val="left"/>
            </w:pPr>
            <w:r>
              <w:t xml:space="preserve">0.86</w:t>
            </w:r>
          </w:p>
        </w:tc>
        <w:tc>
          <w:p>
            <w:pPr>
              <w:pStyle w:val="Compact"/>
              <w:jc w:val="left"/>
            </w:pPr>
            <w:r>
              <w:t xml:space="preserve">-4.73</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r>
      <w:tr>
        <w:tc>
          <w:p>
            <w:pPr>
              <w:pStyle w:val="Compact"/>
              <w:jc w:val="left"/>
            </w:pPr>
            <w:r>
              <w:t xml:space="preserve">2|4</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-7.75</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-7.82</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-8.16</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r>
      <w:tr>
        <w:tc>
          <w:p>
            <w:pPr>
              <w:pStyle w:val="Compact"/>
              <w:jc w:val="left"/>
            </w:pPr>
            <w:r>
              <w:t xml:space="preserve">4|6</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-1.13</w:t>
            </w:r>
          </w:p>
        </w:tc>
        <w:tc>
          <w:p>
            <w:pPr>
              <w:pStyle w:val="Compact"/>
              <w:jc w:val="left"/>
            </w:pPr>
            <w:r>
              <w:t xml:space="preserve">0.26</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-1.20</w:t>
            </w:r>
          </w:p>
        </w:tc>
        <w:tc>
          <w:p>
            <w:pPr>
              <w:pStyle w:val="Compact"/>
              <w:jc w:val="left"/>
            </w:pPr>
            <w:r>
              <w:t xml:space="preserve">0.231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-1.51</w:t>
            </w:r>
          </w:p>
        </w:tc>
        <w:tc>
          <w:p>
            <w:pPr>
              <w:pStyle w:val="Compact"/>
              <w:jc w:val="left"/>
            </w:pPr>
            <w:r>
              <w:t xml:space="preserve">0.131</w:t>
            </w:r>
          </w:p>
        </w:tc>
        <w:tc>
          <w:p>
            <w:pPr>
              <w:pStyle w:val="Compact"/>
              <w:jc w:val="left"/>
            </w:pPr>
            <w:r>
              <w:t xml:space="preserve">NA</w:t>
            </w:r>
          </w:p>
        </w:tc>
        <w:tc>
          <w:p>
            <w:pPr>
              <w:pStyle w:val="Compact"/>
              <w:jc w:val="left"/>
            </w:pPr>
            <w:r>
              <w:t xml:space="preserve">NA</w:t>
            </w:r>
          </w:p>
        </w:tc>
      </w:tr>
      <w:tr>
        <w:tc>
          <w:p>
            <w:pPr>
              <w:pStyle w:val="Compact"/>
              <w:jc w:val="left"/>
            </w:pPr>
            <w:r>
              <w:t xml:space="preserve">Model Fit</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11.95</w:t>
            </w:r>
          </w:p>
        </w:tc>
        <w:tc>
          <w:p>
            <w:pPr>
              <w:pStyle w:val="Compact"/>
              <w:jc w:val="left"/>
            </w:pPr>
            <w:r>
              <w:t xml:space="preserve">0.001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3.43</w:t>
            </w:r>
          </w:p>
        </w:tc>
        <w:tc>
          <w:p>
            <w:pPr>
              <w:pStyle w:val="Compact"/>
              <w:jc w:val="left"/>
            </w:pPr>
            <w:r>
              <w:t xml:space="preserve">0.064</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22.54</w:t>
            </w:r>
          </w:p>
        </w:tc>
        <w:tc>
          <w:p>
            <w:pPr>
              <w:pStyle w:val="Compact"/>
              <w:jc w:val="left"/>
            </w:pPr>
            <w:r>
              <w:t xml:space="preserve">&lt; .001</w:t>
            </w:r>
          </w:p>
        </w:tc>
      </w:tr>
    </w:tbl>
    <w:p>
      <w:pPr>
        <w:pStyle w:val="Compact"/>
      </w:pPr>
      <w:r>
        <w:rPr>
          <w:i/>
        </w:rPr>
        <w:t xml:space="preserve">Note.</w:t>
      </w:r>
      <w:r>
        <w:t xml:space="preserve"> </w:t>
      </w:r>
      <w:r>
        <w:t xml:space="preserve">AoAtest</w:t>
      </w:r>
    </w:p>
    <w:p>
      <w:pPr>
        <w:pStyle w:val="Textkrper"/>
      </w:pPr>
      <w:r>
        <w:t xml:space="preserve"> </w:t>
      </w:r>
    </w:p>
    <w:p>
      <w:pPr>
        <w:pStyle w:val="Textkrper"/>
      </w:pPr>
      <w:r>
        <w:rPr>
          <w:b/>
        </w:rPr>
        <w:t xml:space="preserve">Rating-based AoA</w:t>
      </w:r>
    </w:p>
    <w:p>
      <w:pPr>
        <w:pStyle w:val="Textkrper"/>
      </w:pPr>
      <w:r>
        <w:t xml:space="preserve">A model with only the predictors log CHILDES frequency, length, and imageability accounted for 57.42% of variance in rating-based AoA. The addition of adult BOI ratings to the model accounted for an additional 0.47% of variance, whereas the addition of child BOI ratings to the model accounted for an additional 5.62% and the addition of BOI difference to the model accounted for an additional 8.14%. For every unit increase in BOI rating, rating-based AoA decreased for Child ratings, ß = -0.35, and BOI differences scores, ß = -0.33, whereas rating-based AoA increased for Adult ratings, ß = 0.11. The significant positive relationship between Adult BOI and rating-based AoA is due to the high correlation between Imageability and Adult BOI (r = 0.75 for the 1,900 items in this regression), although this does not meet the threshold for multicollinearity (Imageability VIF = 2.58, Adult BOI VIF = 2.42). Indeed, when Imageability is removed from this model, the relationship between Adult BOI and rating-based AoA reverses (ß = -0.14). See Table 4 for estimates of all model parameters.</w:t>
      </w:r>
    </w:p>
    <w:p>
      <w:pPr>
        <w:pStyle w:val="Textkrper"/>
      </w:pPr>
      <w:r>
        <w:rPr>
          <w:b/>
        </w:rPr>
        <w:t xml:space="preserve">Table 5</w:t>
      </w:r>
    </w:p>
    <w:p>
      <w:pPr>
        <w:pStyle w:val="Compact"/>
      </w:pPr>
      <w:r>
        <w:t xml:space="preserve">(#tab:show table 5)</w:t>
      </w:r>
    </w:p>
    <w:p>
      <w:pPr>
        <w:pStyle w:val="Compact"/>
        <w:pStyle w:val="TableCaption"/>
      </w:pPr>
      <w:r>
        <w:rPr>
          <w:i/>
        </w:rPr>
        <w:t xml:space="preserve">Regression Coefficients from Item-Level Analyses Predicting Rating-based Age of Acquisition (N = 1,900)</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w:r>
              <w:t xml:space="preserve">adult_AoA_rate_beta</w:t>
            </w:r>
          </w:p>
        </w:tc>
        <w:tc>
          <w:tcPr>
            <w:tcBorders>
              <w:bottom w:val="single"/>
            </w:tcBorders>
            <w:vAlign w:val="bottom"/>
          </w:tcPr>
          <w:p>
            <w:pPr>
              <w:pStyle w:val="Compact"/>
              <w:jc w:val="left"/>
            </w:pPr>
            <w:r>
              <w:t xml:space="preserve">adult_AoA_rate_se</w:t>
            </w:r>
          </w:p>
        </w:tc>
        <w:tc>
          <w:tcPr>
            <w:tcBorders>
              <w:bottom w:val="single"/>
            </w:tcBorders>
            <w:vAlign w:val="bottom"/>
          </w:tcPr>
          <w:p>
            <w:pPr>
              <w:pStyle w:val="Compact"/>
              <w:jc w:val="left"/>
            </w:pPr>
            <w:r>
              <w:t xml:space="preserve">adult_AoA_rate_t</w:t>
            </w:r>
          </w:p>
        </w:tc>
        <w:tc>
          <w:tcPr>
            <w:tcBorders>
              <w:bottom w:val="single"/>
            </w:tcBorders>
            <w:vAlign w:val="bottom"/>
          </w:tcPr>
          <w:p>
            <w:pPr>
              <w:pStyle w:val="Compact"/>
              <w:jc w:val="left"/>
            </w:pPr>
            <w:r>
              <w:t xml:space="preserve">adult_AoA_rate_p</w:t>
            </w:r>
          </w:p>
        </w:tc>
        <w:tc>
          <w:tcPr>
            <w:tcBorders>
              <w:bottom w:val="single"/>
            </w:tcBorders>
            <w:vAlign w:val="bottom"/>
          </w:tcPr>
          <w:p>
            <w:pPr>
              <w:pStyle w:val="Compact"/>
              <w:jc w:val="left"/>
            </w:pPr>
            <w:r>
              <w:t xml:space="preserve">adult_AoA_rate_R2</w:t>
            </w:r>
          </w:p>
        </w:tc>
        <w:tc>
          <w:tcPr>
            <w:tcBorders>
              <w:bottom w:val="single"/>
            </w:tcBorders>
            <w:vAlign w:val="bottom"/>
          </w:tcPr>
          <w:p>
            <w:pPr>
              <w:pStyle w:val="Compact"/>
              <w:jc w:val="left"/>
            </w:pPr>
            <w:r>
              <w:t xml:space="preserve">adult_AoA_rate_delta</w:t>
            </w:r>
          </w:p>
        </w:tc>
        <w:tc>
          <w:tcPr>
            <w:tcBorders>
              <w:bottom w:val="single"/>
            </w:tcBorders>
            <w:vAlign w:val="bottom"/>
          </w:tcPr>
          <w:p>
            <w:pPr>
              <w:pStyle w:val="Compact"/>
              <w:jc w:val="left"/>
            </w:pPr>
            <w:r>
              <w:t xml:space="preserve">adult_AoA_rate_deltap</w:t>
            </w:r>
          </w:p>
        </w:tc>
        <w:tc>
          <w:tcPr>
            <w:tcBorders>
              <w:bottom w:val="single"/>
            </w:tcBorders>
            <w:vAlign w:val="bottom"/>
          </w:tcPr>
          <w:p>
            <w:pPr>
              <w:pStyle w:val="Compact"/>
              <w:jc w:val="left"/>
            </w:pPr>
            <w:r>
              <w:t xml:space="preserve">child_AoA_rate_beta</w:t>
            </w:r>
          </w:p>
        </w:tc>
        <w:tc>
          <w:tcPr>
            <w:tcBorders>
              <w:bottom w:val="single"/>
            </w:tcBorders>
            <w:vAlign w:val="bottom"/>
          </w:tcPr>
          <w:p>
            <w:pPr>
              <w:pStyle w:val="Compact"/>
              <w:jc w:val="left"/>
            </w:pPr>
            <w:r>
              <w:t xml:space="preserve">child_AoA_rate_se</w:t>
            </w:r>
          </w:p>
        </w:tc>
        <w:tc>
          <w:tcPr>
            <w:tcBorders>
              <w:bottom w:val="single"/>
            </w:tcBorders>
            <w:vAlign w:val="bottom"/>
          </w:tcPr>
          <w:p>
            <w:pPr>
              <w:pStyle w:val="Compact"/>
              <w:jc w:val="left"/>
            </w:pPr>
            <w:r>
              <w:t xml:space="preserve">child_AoA_rate_t</w:t>
            </w:r>
          </w:p>
        </w:tc>
        <w:tc>
          <w:tcPr>
            <w:tcBorders>
              <w:bottom w:val="single"/>
            </w:tcBorders>
            <w:vAlign w:val="bottom"/>
          </w:tcPr>
          <w:p>
            <w:pPr>
              <w:pStyle w:val="Compact"/>
              <w:jc w:val="left"/>
            </w:pPr>
            <w:r>
              <w:t xml:space="preserve">child_AoA_rate_p</w:t>
            </w:r>
          </w:p>
        </w:tc>
        <w:tc>
          <w:tcPr>
            <w:tcBorders>
              <w:bottom w:val="single"/>
            </w:tcBorders>
            <w:vAlign w:val="bottom"/>
          </w:tcPr>
          <w:p>
            <w:pPr>
              <w:pStyle w:val="Compact"/>
              <w:jc w:val="left"/>
            </w:pPr>
            <w:r>
              <w:t xml:space="preserve">child_AoA_rate_R2</w:t>
            </w:r>
          </w:p>
        </w:tc>
        <w:tc>
          <w:tcPr>
            <w:tcBorders>
              <w:bottom w:val="single"/>
            </w:tcBorders>
            <w:vAlign w:val="bottom"/>
          </w:tcPr>
          <w:p>
            <w:pPr>
              <w:pStyle w:val="Compact"/>
              <w:jc w:val="left"/>
            </w:pPr>
            <w:r>
              <w:t xml:space="preserve">child_AoA_rate_delta</w:t>
            </w:r>
          </w:p>
        </w:tc>
        <w:tc>
          <w:tcPr>
            <w:tcBorders>
              <w:bottom w:val="single"/>
            </w:tcBorders>
            <w:vAlign w:val="bottom"/>
          </w:tcPr>
          <w:p>
            <w:pPr>
              <w:pStyle w:val="Compact"/>
              <w:jc w:val="left"/>
            </w:pPr>
            <w:r>
              <w:t xml:space="preserve">child_AoA_rate_deltap</w:t>
            </w:r>
          </w:p>
        </w:tc>
        <w:tc>
          <w:tcPr>
            <w:tcBorders>
              <w:bottom w:val="single"/>
            </w:tcBorders>
            <w:vAlign w:val="bottom"/>
          </w:tcPr>
          <w:p>
            <w:pPr>
              <w:pStyle w:val="Compact"/>
              <w:jc w:val="left"/>
            </w:pPr>
            <w:r>
              <w:t xml:space="preserve">diff_AoA_rate_beta</w:t>
            </w:r>
          </w:p>
        </w:tc>
        <w:tc>
          <w:tcPr>
            <w:tcBorders>
              <w:bottom w:val="single"/>
            </w:tcBorders>
            <w:vAlign w:val="bottom"/>
          </w:tcPr>
          <w:p>
            <w:pPr>
              <w:pStyle w:val="Compact"/>
              <w:jc w:val="left"/>
            </w:pPr>
            <w:r>
              <w:t xml:space="preserve">diff_AoA_rate_se</w:t>
            </w:r>
          </w:p>
        </w:tc>
        <w:tc>
          <w:tcPr>
            <w:tcBorders>
              <w:bottom w:val="single"/>
            </w:tcBorders>
            <w:vAlign w:val="bottom"/>
          </w:tcPr>
          <w:p>
            <w:pPr>
              <w:pStyle w:val="Compact"/>
              <w:jc w:val="left"/>
            </w:pPr>
            <w:r>
              <w:t xml:space="preserve">diff_AoA_rate_t</w:t>
            </w:r>
          </w:p>
        </w:tc>
        <w:tc>
          <w:tcPr>
            <w:tcBorders>
              <w:bottom w:val="single"/>
            </w:tcBorders>
            <w:vAlign w:val="bottom"/>
          </w:tcPr>
          <w:p>
            <w:pPr>
              <w:pStyle w:val="Compact"/>
              <w:jc w:val="left"/>
            </w:pPr>
            <w:r>
              <w:t xml:space="preserve">diff_AoA_rate_p</w:t>
            </w:r>
          </w:p>
        </w:tc>
        <w:tc>
          <w:tcPr>
            <w:tcBorders>
              <w:bottom w:val="single"/>
            </w:tcBorders>
            <w:vAlign w:val="bottom"/>
          </w:tcPr>
          <w:p>
            <w:pPr>
              <w:pStyle w:val="Compact"/>
              <w:jc w:val="left"/>
            </w:pPr>
            <w:r>
              <w:t xml:space="preserve">diff_AoA_rate_R2</w:t>
            </w:r>
          </w:p>
        </w:tc>
        <w:tc>
          <w:tcPr>
            <w:tcBorders>
              <w:bottom w:val="single"/>
            </w:tcBorders>
            <w:vAlign w:val="bottom"/>
          </w:tcPr>
          <w:p>
            <w:pPr>
              <w:pStyle w:val="Compact"/>
              <w:jc w:val="left"/>
            </w:pPr>
            <w:r>
              <w:t xml:space="preserve">diff_AoA_rate_delta</w:t>
            </w:r>
          </w:p>
        </w:tc>
        <w:tc>
          <w:tcPr>
            <w:tcBorders>
              <w:bottom w:val="single"/>
            </w:tcBorders>
            <w:vAlign w:val="bottom"/>
          </w:tcPr>
          <w:p>
            <w:pPr>
              <w:pStyle w:val="Compact"/>
              <w:jc w:val="left"/>
            </w:pPr>
            <w:r>
              <w:t xml:space="preserve">diff_AoA_rate_deltap</w:t>
            </w:r>
          </w:p>
        </w:tc>
      </w:tr>
      <w:tr>
        <w:tc>
          <w:p>
            <w:pPr>
              <w:pStyle w:val="Compact"/>
              <w:jc w:val="left"/>
            </w:pPr>
            <w:r>
              <w:t xml:space="preserve">(Intercept)</w:t>
            </w:r>
          </w:p>
        </w:tc>
        <w:tc>
          <w:p>
            <w:pPr>
              <w:pStyle w:val="Compact"/>
              <w:jc w:val="left"/>
            </w:pPr>
            <w:r>
              <w:t xml:space="preserve">Intercept</w:t>
            </w:r>
          </w:p>
        </w:tc>
        <w:tc>
          <w:p>
            <w:pPr>
              <w:pStyle w:val="Compact"/>
              <w:jc w:val="left"/>
            </w:pPr>
            <w:r>
              <w:t xml:space="preserve">0.00</w:t>
            </w:r>
          </w:p>
        </w:tc>
        <w:tc>
          <w:p>
            <w:pPr>
              <w:pStyle w:val="Compact"/>
              <w:jc w:val="left"/>
            </w:pPr>
            <w:r>
              <w:t xml:space="preserve">0.01</w:t>
            </w:r>
          </w:p>
        </w:tc>
        <w:tc>
          <w:p>
            <w:pPr>
              <w:pStyle w:val="Compact"/>
              <w:jc w:val="left"/>
            </w:pPr>
            <w:r>
              <w:t xml:space="preserve">0.00</w:t>
            </w:r>
          </w:p>
        </w:tc>
        <w:tc>
          <w:p>
            <w:pPr>
              <w:pStyle w:val="Compact"/>
              <w:jc w:val="left"/>
            </w:pPr>
            <w:r>
              <w:t xml:space="preserve">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0.00</w:t>
            </w:r>
          </w:p>
        </w:tc>
        <w:tc>
          <w:p>
            <w:pPr>
              <w:pStyle w:val="Compact"/>
              <w:jc w:val="left"/>
            </w:pPr>
            <w:r>
              <w:t xml:space="preserve">0.01</w:t>
            </w:r>
          </w:p>
        </w:tc>
        <w:tc>
          <w:p>
            <w:pPr>
              <w:pStyle w:val="Compact"/>
              <w:jc w:val="left"/>
            </w:pPr>
            <w:r>
              <w:t xml:space="preserve">0.00</w:t>
            </w:r>
          </w:p>
        </w:tc>
        <w:tc>
          <w:p>
            <w:pPr>
              <w:pStyle w:val="Compact"/>
              <w:jc w:val="left"/>
            </w:pPr>
            <w:r>
              <w:t xml:space="preserve">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0.00</w:t>
            </w:r>
          </w:p>
        </w:tc>
        <w:tc>
          <w:p>
            <w:pPr>
              <w:pStyle w:val="Compact"/>
              <w:jc w:val="left"/>
            </w:pPr>
            <w:r>
              <w:t xml:space="preserve">0.01</w:t>
            </w:r>
          </w:p>
        </w:tc>
        <w:tc>
          <w:p>
            <w:pPr>
              <w:pStyle w:val="Compact"/>
              <w:jc w:val="left"/>
            </w:pPr>
            <w:r>
              <w:t xml:space="preserve">0.00</w:t>
            </w:r>
          </w:p>
        </w:tc>
        <w:tc>
          <w:p>
            <w:pPr>
              <w:pStyle w:val="Compact"/>
              <w:jc w:val="left"/>
            </w:pPr>
            <w:r>
              <w:t xml:space="preserve">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Childes_lgFreq.z</w:t>
            </w:r>
          </w:p>
        </w:tc>
        <w:tc>
          <w:p>
            <w:pPr>
              <w:pStyle w:val="Compact"/>
              <w:jc w:val="left"/>
            </w:pPr>
            <w:r>
              <w:t xml:space="preserve">log CHILDES Frequency</w:t>
            </w:r>
          </w:p>
        </w:tc>
        <w:tc>
          <w:p>
            <w:pPr>
              <w:pStyle w:val="Compact"/>
              <w:jc w:val="left"/>
            </w:pPr>
            <w:r>
              <w:t xml:space="preserve">-0.75</w:t>
            </w:r>
          </w:p>
        </w:tc>
        <w:tc>
          <w:p>
            <w:pPr>
              <w:pStyle w:val="Compact"/>
              <w:jc w:val="left"/>
            </w:pPr>
            <w:r>
              <w:t xml:space="preserve">0.02</w:t>
            </w:r>
          </w:p>
        </w:tc>
        <w:tc>
          <w:p>
            <w:pPr>
              <w:pStyle w:val="Compact"/>
              <w:jc w:val="left"/>
            </w:pPr>
            <w:r>
              <w:t xml:space="preserve">-48.19</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-0.58</w:t>
            </w:r>
          </w:p>
        </w:tc>
        <w:tc>
          <w:p>
            <w:pPr>
              <w:pStyle w:val="Compact"/>
              <w:jc w:val="left"/>
            </w:pPr>
            <w:r>
              <w:t xml:space="preserve">0.02</w:t>
            </w:r>
          </w:p>
        </w:tc>
        <w:tc>
          <w:p>
            <w:pPr>
              <w:pStyle w:val="Compact"/>
              <w:jc w:val="left"/>
            </w:pPr>
            <w:r>
              <w:t xml:space="preserve">-33.56</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-0.60</w:t>
            </w:r>
          </w:p>
        </w:tc>
        <w:tc>
          <w:p>
            <w:pPr>
              <w:pStyle w:val="Compact"/>
              <w:jc w:val="left"/>
            </w:pPr>
            <w:r>
              <w:t xml:space="preserve">0.02</w:t>
            </w:r>
          </w:p>
        </w:tc>
        <w:tc>
          <w:p>
            <w:pPr>
              <w:pStyle w:val="Compact"/>
              <w:jc w:val="left"/>
            </w:pPr>
            <w:r>
              <w:t xml:space="preserve">-38.54</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Length.z</w:t>
            </w:r>
          </w:p>
        </w:tc>
        <w:tc>
          <w:p>
            <w:pPr>
              <w:pStyle w:val="Compact"/>
              <w:jc w:val="left"/>
            </w:pPr>
            <w:r>
              <w:t xml:space="preserve">Length</w:t>
            </w:r>
          </w:p>
        </w:tc>
        <w:tc>
          <w:p>
            <w:pPr>
              <w:pStyle w:val="Compact"/>
              <w:jc w:val="left"/>
            </w:pPr>
            <w:r>
              <w:t xml:space="preserve">0.09</w:t>
            </w:r>
          </w:p>
        </w:tc>
        <w:tc>
          <w:p>
            <w:pPr>
              <w:pStyle w:val="Compact"/>
              <w:jc w:val="left"/>
            </w:pPr>
            <w:r>
              <w:t xml:space="preserve">0.02</w:t>
            </w:r>
          </w:p>
        </w:tc>
        <w:tc>
          <w:p>
            <w:pPr>
              <w:pStyle w:val="Compact"/>
              <w:jc w:val="left"/>
            </w:pPr>
            <w:r>
              <w:t xml:space="preserve">5.38</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0.06</w:t>
            </w:r>
          </w:p>
        </w:tc>
        <w:tc>
          <w:p>
            <w:pPr>
              <w:pStyle w:val="Compact"/>
              <w:jc w:val="left"/>
            </w:pPr>
            <w:r>
              <w:t xml:space="preserve">0.01</w:t>
            </w:r>
          </w:p>
        </w:tc>
        <w:tc>
          <w:p>
            <w:pPr>
              <w:pStyle w:val="Compact"/>
              <w:jc w:val="left"/>
            </w:pPr>
            <w:r>
              <w:t xml:space="preserve">3.85</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0.10</w:t>
            </w:r>
          </w:p>
        </w:tc>
        <w:tc>
          <w:p>
            <w:pPr>
              <w:pStyle w:val="Compact"/>
              <w:jc w:val="left"/>
            </w:pPr>
            <w:r>
              <w:t xml:space="preserve">0.01</w:t>
            </w:r>
          </w:p>
        </w:tc>
        <w:tc>
          <w:p>
            <w:pPr>
              <w:pStyle w:val="Compact"/>
              <w:jc w:val="left"/>
            </w:pPr>
            <w:r>
              <w:t xml:space="preserve">7.19</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Image.z</w:t>
            </w:r>
          </w:p>
        </w:tc>
        <w:tc>
          <w:p>
            <w:pPr>
              <w:pStyle w:val="Compact"/>
              <w:jc w:val="left"/>
            </w:pPr>
            <w:r>
              <w:t xml:space="preserve">Imageability</w:t>
            </w:r>
          </w:p>
        </w:tc>
        <w:tc>
          <w:p>
            <w:pPr>
              <w:pStyle w:val="Compact"/>
              <w:jc w:val="left"/>
            </w:pPr>
            <w:r>
              <w:t xml:space="preserve">-0.34</w:t>
            </w:r>
          </w:p>
        </w:tc>
        <w:tc>
          <w:p>
            <w:pPr>
              <w:pStyle w:val="Compact"/>
              <w:jc w:val="left"/>
            </w:pPr>
            <w:r>
              <w:t xml:space="preserve">0.02</w:t>
            </w:r>
          </w:p>
        </w:tc>
        <w:tc>
          <w:p>
            <w:pPr>
              <w:pStyle w:val="Compact"/>
              <w:jc w:val="left"/>
            </w:pPr>
            <w:r>
              <w:t xml:space="preserve">-14.20</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-0.02</w:t>
            </w:r>
          </w:p>
        </w:tc>
        <w:tc>
          <w:p>
            <w:pPr>
              <w:pStyle w:val="Compact"/>
              <w:jc w:val="left"/>
            </w:pPr>
            <w:r>
              <w:t xml:space="preserve">0.02</w:t>
            </w:r>
          </w:p>
        </w:tc>
        <w:tc>
          <w:p>
            <w:pPr>
              <w:pStyle w:val="Compact"/>
              <w:jc w:val="left"/>
            </w:pPr>
            <w:r>
              <w:t xml:space="preserve">-1.13</w:t>
            </w:r>
          </w:p>
        </w:tc>
        <w:tc>
          <w:p>
            <w:pPr>
              <w:pStyle w:val="Compact"/>
              <w:jc w:val="left"/>
            </w:pPr>
            <w:r>
              <w:t xml:space="preserve">0.26</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-0.35</w:t>
            </w:r>
          </w:p>
        </w:tc>
        <w:tc>
          <w:p>
            <w:pPr>
              <w:pStyle w:val="Compact"/>
              <w:jc w:val="left"/>
            </w:pPr>
            <w:r>
              <w:t xml:space="preserve">0.01</w:t>
            </w:r>
          </w:p>
        </w:tc>
        <w:tc>
          <w:p>
            <w:pPr>
              <w:pStyle w:val="Compact"/>
              <w:jc w:val="left"/>
            </w:pPr>
            <w:r>
              <w:t xml:space="preserve">-23.75</w:t>
            </w:r>
          </w:p>
        </w:tc>
        <w:tc>
          <w:p>
            <w:pPr>
              <w:pStyle w:val="Compact"/>
              <w:jc w:val="left"/>
            </w:pPr>
            <w:r>
              <w:t xml:space="preserve">&lt; .001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Adult_BOI.z</w:t>
            </w:r>
          </w:p>
        </w:tc>
        <w:tc>
          <w:p>
            <w:pPr>
              <w:pStyle w:val="Compact"/>
              <w:jc w:val="left"/>
            </w:pPr>
            <w:r>
              <w:t xml:space="preserve">BOI</w:t>
            </w:r>
          </w:p>
        </w:tc>
        <w:tc>
          <w:p>
            <w:pPr>
              <w:pStyle w:val="Compact"/>
              <w:jc w:val="left"/>
            </w:pPr>
            <w:r>
              <w:t xml:space="preserve">0.11</w:t>
            </w:r>
          </w:p>
        </w:tc>
        <w:tc>
          <w:p>
            <w:pPr>
              <w:pStyle w:val="Compact"/>
              <w:jc w:val="left"/>
            </w:pPr>
            <w:r>
              <w:t xml:space="preserve">0.02</w:t>
            </w:r>
          </w:p>
        </w:tc>
        <w:tc>
          <w:p>
            <w:pPr>
              <w:pStyle w:val="Compact"/>
              <w:jc w:val="left"/>
            </w:pPr>
            <w:r>
              <w:t xml:space="preserve">4.72</w:t>
            </w:r>
          </w:p>
        </w:tc>
        <w:tc>
          <w:p>
            <w:pPr>
              <w:pStyle w:val="Compact"/>
              <w:jc w:val="left"/>
            </w:pPr>
            <w:r>
              <w:t xml:space="preserve">&lt; .001</w:t>
            </w:r>
          </w:p>
        </w:tc>
        <w:tc>
          <w:p>
            <w:pPr>
              <w:pStyle w:val="Compact"/>
              <w:jc w:val="left"/>
            </w:pPr>
            <w:r>
              <w:t xml:space="preserve">0.58</w:t>
            </w:r>
          </w:p>
        </w:tc>
        <w:tc>
          <w:p>
            <w:pPr>
              <w:pStyle w:val="Compact"/>
              <w:jc w:val="left"/>
            </w:pPr>
            <w:r>
              <w:t xml:space="preserve">0.00</w:t>
            </w:r>
          </w:p>
        </w:tc>
        <w:tc>
          <w:p>
            <w:pPr>
              <w:pStyle w:val="Compact"/>
              <w:jc w:val="left"/>
            </w:pPr>
            <w:r>
              <w:t xml:space="preserve">&lt; .001</w:t>
            </w:r>
          </w:p>
        </w:tc>
        <w:tc>
          <w:p>
            <w:pPr>
              <w:pStyle w:val="Compact"/>
              <w:jc w:val="left"/>
            </w:pPr>
            <w:r>
              <w:t xml:space="preserve">-0.35</w:t>
            </w:r>
          </w:p>
        </w:tc>
        <w:tc>
          <w:p>
            <w:pPr>
              <w:pStyle w:val="Compact"/>
              <w:jc w:val="left"/>
            </w:pPr>
            <w:r>
              <w:t xml:space="preserve">0.02</w:t>
            </w:r>
          </w:p>
        </w:tc>
        <w:tc>
          <w:p>
            <w:pPr>
              <w:pStyle w:val="Compact"/>
              <w:jc w:val="left"/>
            </w:pPr>
            <w:r>
              <w:t xml:space="preserve">-17.00</w:t>
            </w:r>
          </w:p>
        </w:tc>
        <w:tc>
          <w:p>
            <w:pPr>
              <w:pStyle w:val="Compact"/>
              <w:jc w:val="left"/>
            </w:pPr>
            <w:r>
              <w:t xml:space="preserve">&lt; .001</w:t>
            </w:r>
          </w:p>
        </w:tc>
        <w:tc>
          <w:p>
            <w:pPr>
              <w:pStyle w:val="Compact"/>
              <w:jc w:val="left"/>
            </w:pPr>
            <w:r>
              <w:t xml:space="preserve">0.63</w:t>
            </w:r>
          </w:p>
        </w:tc>
        <w:tc>
          <w:p>
            <w:pPr>
              <w:pStyle w:val="Compact"/>
              <w:jc w:val="left"/>
            </w:pPr>
            <w:r>
              <w:t xml:space="preserve">0.06</w:t>
            </w:r>
          </w:p>
        </w:tc>
        <w:tc>
          <w:p>
            <w:pPr>
              <w:pStyle w:val="Compact"/>
              <w:jc w:val="left"/>
            </w:pPr>
            <w:r>
              <w:t xml:space="preserve">&lt; .001</w:t>
            </w:r>
          </w:p>
        </w:tc>
        <w:tc>
          <w:p>
            <w:pPr>
              <w:pStyle w:val="Compact"/>
              <w:jc w:val="left"/>
            </w:pPr>
            <w:r>
              <w:t xml:space="preserve">-0.33</w:t>
            </w:r>
          </w:p>
        </w:tc>
        <w:tc>
          <w:p>
            <w:pPr>
              <w:pStyle w:val="Compact"/>
              <w:jc w:val="left"/>
            </w:pPr>
            <w:r>
              <w:t xml:space="preserve">0.02</w:t>
            </w:r>
          </w:p>
        </w:tc>
        <w:tc>
          <w:p>
            <w:pPr>
              <w:pStyle w:val="Compact"/>
              <w:jc w:val="left"/>
            </w:pPr>
            <w:r>
              <w:t xml:space="preserve">-21.20</w:t>
            </w:r>
          </w:p>
        </w:tc>
        <w:tc>
          <w:p>
            <w:pPr>
              <w:pStyle w:val="Compact"/>
              <w:jc w:val="left"/>
            </w:pPr>
            <w:r>
              <w:t xml:space="preserve">&lt; .001</w:t>
            </w:r>
          </w:p>
        </w:tc>
        <w:tc>
          <w:p>
            <w:pPr>
              <w:pStyle w:val="Compact"/>
              <w:jc w:val="left"/>
            </w:pPr>
            <w:r>
              <w:t xml:space="preserve">0.66</w:t>
            </w:r>
          </w:p>
        </w:tc>
        <w:tc>
          <w:p>
            <w:pPr>
              <w:pStyle w:val="Compact"/>
              <w:jc w:val="left"/>
            </w:pPr>
            <w:r>
              <w:t xml:space="preserve">0.08</w:t>
            </w:r>
          </w:p>
        </w:tc>
        <w:tc>
          <w:p>
            <w:pPr>
              <w:pStyle w:val="Compact"/>
              <w:jc w:val="left"/>
            </w:pPr>
            <w:r>
              <w:t xml:space="preserve">&lt; .001</w:t>
            </w:r>
          </w:p>
        </w:tc>
      </w:tr>
    </w:tbl>
    <w:p>
      <w:pPr>
        <w:pStyle w:val="Compact"/>
      </w:pPr>
      <w:r>
        <w:rPr>
          <w:i/>
        </w:rPr>
        <w:t xml:space="preserve">Note.</w:t>
      </w:r>
      <w:r>
        <w:t xml:space="preserve"> </w:t>
      </w:r>
      <w:r>
        <w:t xml:space="preserve">AoArate</w:t>
      </w:r>
    </w:p>
    <w:p>
      <w:pPr>
        <w:pStyle w:val="Textkrper"/>
      </w:pPr>
      <w:r>
        <w:t xml:space="preserve"> </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CHILD BOI</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CHILD BOI</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1" Target="https://osf.io/xcezv/"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xcez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2021-11-05T17:14:05Z</dcterms:created>
  <dcterms:modified xsi:type="dcterms:W3CDTF">2021-11-05T17:14:05Z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man</vt:lpwstr>
  </property>
  <property fmtid="{D5CDD505-2E9C-101B-9397-08002B2CF9AE}" pid="3" name="csl">
    <vt:lpwstr>/Library/Frameworks/R.framework/Versions/4.0/Resources/library/papaja/rmd/apa6.csl</vt:lpwstr>
  </property>
  <property fmtid="{D5CDD505-2E9C-101B-9397-08002B2CF9AE}" pid="4" name="documentclass">
    <vt:lpwstr>apa7</vt:lpwstr>
  </property>
  <property fmtid="{D5CDD505-2E9C-101B-9397-08002B2CF9AE}" pid="5" name="draft">
    <vt:lpwstr>no</vt:lpwstr>
  </property>
  <property fmtid="{D5CDD505-2E9C-101B-9397-08002B2CF9AE}" pid="6" name="figurelist">
    <vt:lpwstr>no</vt:lpwstr>
  </property>
  <property fmtid="{D5CDD505-2E9C-101B-9397-08002B2CF9AE}" pid="7" name="floatsintext">
    <vt:lpwstr>yes</vt:lpwstr>
  </property>
  <property fmtid="{D5CDD505-2E9C-101B-9397-08002B2CF9AE}" pid="8" name="footnotelist">
    <vt:lpwstr>no</vt:lpwstr>
  </property>
  <property fmtid="{D5CDD505-2E9C-101B-9397-08002B2CF9AE}" pid="9" name="linenumbers">
    <vt:lpwstr>no</vt:lpwstr>
  </property>
  <property fmtid="{D5CDD505-2E9C-101B-9397-08002B2CF9AE}" pid="10" name="mask">
    <vt:lpwstr>no</vt:lpwstr>
  </property>
  <property fmtid="{D5CDD505-2E9C-101B-9397-08002B2CF9AE}" pid="11" name="output">
    <vt:lpwstr/>
  </property>
  <property fmtid="{D5CDD505-2E9C-101B-9397-08002B2CF9AE}" pid="12" name="shorttitle">
    <vt:lpwstr>Child BOI</vt:lpwstr>
  </property>
  <property fmtid="{D5CDD505-2E9C-101B-9397-08002B2CF9AE}" pid="13" name="tablelist">
    <vt:lpwstr>no</vt:lpwstr>
  </property>
</Properties>
</file>