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u w:val="single"/>
          <w:rtl w:val="0"/>
        </w:rPr>
        <w:t xml:space="preserve">Itemized Budged and Assisted Quotes 2026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u w:val="single"/>
          <w:rtl w:val="0"/>
        </w:rPr>
        <w:t xml:space="preserve">Krista Dyer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See spreadsheet for totals tally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Goal/Intended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Presidential Wushu Cup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June 27, 2026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Maryland, USA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https://www.presidentialwushucup.com/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Preparation for Pan Ams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the sport regionally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34175" cy="7324725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4175" cy="7324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6115050" cy="8086725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0" cy="808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334625" cy="40957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4625" cy="4095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Canadian Wushu Nationals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August 1-2, 2026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Markham, Ontario, Canada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Preparation for Pan Ams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Level Competition always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200775" cy="782955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775" cy="782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57900" cy="4943475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4943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248900" cy="3648075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900" cy="3648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Pan-American Wushu Championships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October 5-11, 2026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Buenos Aires, Argentina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 BSA and Bermuda well.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 Gold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49300" cy="8696325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9300" cy="869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96000" cy="856297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856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086475" cy="6219825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6219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Training Camp Lubbock, Texas, USA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USA National Team Coach Ian 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 with other world class athletes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8086725"/>
                  <wp:effectExtent b="0" l="0" r="0" t="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808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*Accomodation and training fees are estimated to be $1000.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www.presidentialwushucup.com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