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C003" w14:textId="77777777" w:rsidR="00464A7D" w:rsidRPr="007E0F4A" w:rsidRDefault="00000000" w:rsidP="007E0F4A">
      <w:pPr>
        <w:pStyle w:val="Heading2"/>
        <w:jc w:val="center"/>
        <w:rPr>
          <w:color w:val="auto"/>
        </w:rPr>
      </w:pPr>
      <w:r w:rsidRPr="007E0F4A">
        <w:rPr>
          <w:color w:val="auto"/>
        </w:rPr>
        <w:t xml:space="preserve">M E </w:t>
      </w:r>
      <w:proofErr w:type="gramStart"/>
      <w:r w:rsidRPr="007E0F4A">
        <w:rPr>
          <w:color w:val="auto"/>
        </w:rPr>
        <w:t>964  Simulation</w:t>
      </w:r>
      <w:proofErr w:type="gramEnd"/>
      <w:r w:rsidRPr="007E0F4A">
        <w:rPr>
          <w:color w:val="auto"/>
        </w:rPr>
        <w:t xml:space="preserve"> and Optimal Control of Energy Systems</w:t>
      </w:r>
    </w:p>
    <w:p w14:paraId="650303DA" w14:textId="77777777" w:rsidR="00464A7D" w:rsidRPr="007E0F4A" w:rsidRDefault="00000000" w:rsidP="007E0F4A">
      <w:pPr>
        <w:pStyle w:val="Title"/>
        <w:jc w:val="center"/>
        <w:rPr>
          <w:color w:val="auto"/>
        </w:rPr>
      </w:pPr>
      <w:r w:rsidRPr="007E0F4A">
        <w:rPr>
          <w:color w:val="auto"/>
        </w:rPr>
        <w:t>Project Proposal</w:t>
      </w:r>
    </w:p>
    <w:p w14:paraId="3FB7ABCF" w14:textId="77777777" w:rsidR="00464A7D" w:rsidRPr="0098327C" w:rsidRDefault="00000000">
      <w:pPr>
        <w:rPr>
          <w:color w:val="auto"/>
          <w:sz w:val="24"/>
          <w:szCs w:val="24"/>
        </w:rPr>
      </w:pPr>
      <w:r w:rsidRPr="0098327C">
        <w:rPr>
          <w:color w:val="auto"/>
          <w:sz w:val="24"/>
          <w:szCs w:val="24"/>
        </w:rPr>
        <w:t xml:space="preserve">Student name(s): </w:t>
      </w:r>
      <w:r w:rsidRPr="0098327C">
        <w:rPr>
          <w:b/>
          <w:bCs/>
          <w:color w:val="auto"/>
          <w:sz w:val="24"/>
          <w:szCs w:val="24"/>
        </w:rPr>
        <w:t>Erik Pagenkopf</w:t>
      </w:r>
    </w:p>
    <w:p>
      <w:pPr>
        <w:rPr>
          <w:color w:val="auto"/>
          <w:sz w:val="24"/>
          <w:szCs w:val="24"/>
        </w:rPr>
      </w:pPr>
      <w:r>
        <w:rPr>
          <w:color w:val="auto"/>
          <w:sz w:val="24"/>
          <w:szCs w:val="24"/>
        </w:rPr>
        <w:t xml:space="preserve">Project title: </w:t>
      </w:r>
      <w:r>
        <w:rPr>
          <w:b/>
          <w:bCs/>
          <w:color w:val="auto"/>
          <w:sz w:val="24"/>
          <w:szCs w:val="24"/>
        </w:rPr>
        <w:t>Twenty-Year Entering Water Temperature Drift in a Ground-Coupled Heat Pump Borefield</w:t>
      </w:r>
    </w:p>
    <w:p>
      <w:pPr>
        <w:pStyle w:val="Heading1"/>
        <w:spacing w:before="200" w:after="60"/>
        <w:rPr>
          <w:color w:val="auto"/>
        </w:rPr>
      </w:pPr>
      <w:r>
        <w:rPr>
          <w:color w:val="auto"/>
        </w:rPr>
        <w:t xml:space="preserve">1  Problem and objectives</w:t>
      </w:r>
    </w:p>
    <w:p>
      <w:pPr>
        <w:spacing w:before="0" w:after="90" w:line="252" w:lineRule="auto"/>
      </w:pPr>
      <w:r>
        <w:t xml:space="preserve">A ground-coupled heat pump exchanges heat with the ground through a vertical borefield. When annual heat extraction and rejection do not balance, the ground slowly warms or cools over years, so the entering water temperature (EWT) at the heat pump in year 20 differs from year 1. EWT sets heat pump COP/EER and, outside its operating limits, capacity. Sizing methods built on a few peak-load pulses can misstate the required length by tens of percent when loads are imbalanced [1–3], so a field that looks adequate at design can drift out of range. I will simulate one borefield and heat pump serving an hourly building load for 20 years. The primary focus is the 20-year EWT trajectory; manifold flow imbalance is a secondary problem.</w:t>
      </w:r>
    </w:p>
    <w:p>
      <w:pPr>
        <w:spacing w:before="0" w:after="50" w:line="252" w:lineRule="auto"/>
        <w:ind w:left="400" w:hanging="400"/>
      </w:pPr>
      <w:r>
        <w:rPr>
          <w:b/>
          <w:bCs/>
        </w:rPr>
        <w:t xml:space="preserve">Q1</w:t>
      </w:r>
      <w:r>
        <w:t xml:space="preserve"> How does total borehole length, varied from 70% to 130% of L</w:t>
      </w:r>
      <w:r>
        <w:rPr>
          <w:vertAlign w:val="subscript"/>
        </w:rPr>
        <w:t xml:space="preserve">0</w:t>
      </w:r>
      <w:r>
        <w:t xml:space="preserve"> (the length whose year-1 peak EWT just meets the limit), change the EWT trajectory? I read off the annual minimum and maximum EWT by year, the first year a limit is crossed, and total hours outside the limits.</w:t>
      </w:r>
    </w:p>
    <w:p>
      <w:pPr>
        <w:spacing w:before="0" w:after="50" w:line="252" w:lineRule="auto"/>
        <w:ind w:left="400" w:hanging="400"/>
      </w:pPr>
      <w:r>
        <w:rPr>
          <w:b/>
          <w:bCs/>
        </w:rPr>
        <w:t xml:space="preserve">Q2</w:t>
      </w:r>
      <w:r>
        <w:t xml:space="preserve"> How much does an EWT-dependent COP change the drift compared with a constant-COP heat pump at L</w:t>
      </w:r>
      <w:r>
        <w:rPr>
          <w:vertAlign w:val="subscript"/>
        </w:rPr>
        <w:t xml:space="preserve">0</w:t>
      </w:r>
      <w:r>
        <w:t xml:space="preserve">? I read off the year-20 EWT extremes and the 20-year heat pump energy.</w:t>
      </w:r>
    </w:p>
    <w:p>
      <w:pPr>
        <w:spacing w:before="0" w:after="50" w:line="252" w:lineRule="auto"/>
        <w:ind w:left="400" w:hanging="400"/>
      </w:pPr>
      <w:r>
        <w:rPr>
          <w:b/>
          <w:bCs/>
        </w:rPr>
        <w:t xml:space="preserve">Q3</w:t>
      </w:r>
      <w:r>
        <w:t xml:space="preserve"> </w:t>
      </w:r>
      <w:r>
        <w:rPr>
          <w:i/>
          <w:iCs/>
        </w:rPr>
        <w:t xml:space="preserve">(extension)</w:t>
      </w:r>
      <w:r>
        <w:t xml:space="preserve"> Does repeating one weather year understate worst-case EWT compared with 3–5 different weather years? I read off the worst-year EWT extreme and hours outside limits.</w:t>
      </w:r>
    </w:p>
    <w:p>
      <w:pPr>
        <w:spacing w:before="0" w:after="50" w:line="252" w:lineRule="auto"/>
        <w:ind w:left="400" w:hanging="400"/>
      </w:pPr>
      <w:r>
        <w:rPr>
          <w:b/>
          <w:bCs/>
        </w:rPr>
        <w:t xml:space="preserve">Q4</w:t>
      </w:r>
      <w:r>
        <w:t xml:space="preserve"> </w:t>
      </w:r>
      <w:r>
        <w:rPr>
          <w:i/>
          <w:iCs/>
        </w:rPr>
        <w:t xml:space="preserve">(extension)</w:t>
      </w:r>
      <w:r>
        <w:t xml:space="preserve"> If balancing valves hold an unequal flow split (±20% about the mean) for 20 years, how large is the borehole-to-borehole spread in outlet temperature, and does the field-average EWT change?</w:t>
      </w:r>
    </w:p>
    <w:p>
      <w:pPr>
        <w:spacing w:before="0" w:after="90" w:line="252" w:lineRule="auto"/>
      </w:pPr>
      <w:r>
        <w:rPr>
          <w:b/>
          <w:bCs/>
        </w:rPr>
        <w:t xml:space="preserve">What a peak-load calculation misses.</w:t>
      </w:r>
      <w:r>
        <w:t xml:space="preserve"> It sizes for a few design pulses with ground temperature and heat pump efficiency held fixed. It cannot show (i) heat accumulating from annual imbalance: the ground response time for a 150 m borehole is about H</w:t>
      </w:r>
      <w:r>
        <w:rPr>
          <w:vertAlign w:val="superscript"/>
        </w:rPr>
        <w:t xml:space="preserve">2</w:t>
      </w:r>
      <w:r>
        <w:t xml:space="preserve">/(9α) ≈ 80 years (α = 10</w:t>
      </w:r>
      <w:r>
        <w:rPr>
          <w:vertAlign w:val="superscript"/>
        </w:rPr>
        <w:t xml:space="preserve">−6</w:t>
      </w:r>
      <w:r>
        <w:t xml:space="preserve"> m</w:t>
      </w:r>
      <w:r>
        <w:rPr>
          <w:vertAlign w:val="superscript"/>
        </w:rPr>
        <w:t xml:space="preserve">2</w:t>
      </w:r>
      <w:r>
        <w:t xml:space="preserve">/s), so the field does not reach steady state within 20 years; (ii) the sign-dependent feedback: in cooling, a hotter loop lowers EER and rejects more heat (reinforcing), while in heating a colder loop lowers COP and extracts less heat (self-limiting); or (iii) how many hours the loop spends outside the heat pump limits. One plot carries the argument: annual minimum and maximum EWT versus year (1–20) for each field length, with the EWT limits drawn on it.</w:t>
      </w:r>
    </w:p>
    <w:p>
      <w:pPr>
        <w:pStyle w:val="Heading1"/>
        <w:spacing w:before="200" w:after="60"/>
        <w:rPr>
          <w:color w:val="auto"/>
        </w:rPr>
      </w:pPr>
      <w:r>
        <w:rPr>
          <w:color w:val="auto"/>
        </w:rPr>
        <w:t xml:space="preserve">2  Model scope and technical approach</w:t>
      </w:r>
    </w:p>
    <w:p>
      <w:pPr>
        <w:spacing w:before="0" w:after="90" w:line="252" w:lineRule="auto"/>
      </w:pPr>
      <w:r>
        <w:rPr>
          <w:b/>
          <w:bCs/>
        </w:rPr>
        <w:t xml:space="preserve">System and components.</w:t>
      </w:r>
      <w:r>
        <w:t xml:space="preserve"> Building load → water-to-air heat pump → closed ground loop → borefield (a 4×4 layout at 6 m spacing and 150 m depth as a starting point; depth is varied for Q1). I will write four stand-alone Python components (ESCLab is not required): the hourly load input; the heat pump (COP/EER and capacity versus EWT); the ground (pygfunction field g-function with Claesson–Javed load aggregation [4]); and the fluid loop (constant flow, algebraic). The manifold and pump flow network is an extension.</w:t>
      </w:r>
    </w:p>
    <w:p>
      <w:pPr>
        <w:spacing w:before="0" w:after="70" w:line="252" w:lineRule="auto"/>
        <w:jc w:val="center"/>
      </w:pPr>
      <w:r>
        <w:rPr>
          <w:i/>
          <w:iCs/>
          <w:sz w:val="20"/>
          <w:szCs w:val="20"/>
        </w:rPr>
        <w:t xml:space="preserve">Each step:  Q</w:t>
      </w:r>
      <w:r>
        <w:rPr>
          <w:i/>
          <w:iCs/>
          <w:sz w:val="20"/>
          <w:szCs w:val="20"/>
          <w:vertAlign w:val="subscript"/>
        </w:rPr>
        <w:t xml:space="preserve">bldg</w:t>
      </w:r>
      <w:r>
        <w:rPr>
          <w:i/>
          <w:iCs/>
          <w:sz w:val="20"/>
          <w:szCs w:val="20"/>
        </w:rPr>
        <w:t xml:space="preserve"> → heat pump COP(EWT) → ground load Q</w:t>
      </w:r>
      <w:r>
        <w:rPr>
          <w:i/>
          <w:iCs/>
          <w:sz w:val="20"/>
          <w:szCs w:val="20"/>
          <w:vertAlign w:val="subscript"/>
        </w:rPr>
        <w:t xml:space="preserve">g</w:t>
      </w:r>
      <w:r>
        <w:rPr>
          <w:i/>
          <w:iCs/>
          <w:sz w:val="20"/>
          <w:szCs w:val="20"/>
        </w:rPr>
        <w:t xml:space="preserve"> → g-function → T</w:t>
      </w:r>
      <w:r>
        <w:rPr>
          <w:i/>
          <w:iCs/>
          <w:sz w:val="20"/>
          <w:szCs w:val="20"/>
          <w:vertAlign w:val="subscript"/>
        </w:rPr>
        <w:t xml:space="preserve">wall</w:t>
      </w:r>
      <w:r>
        <w:rPr>
          <w:i/>
          <w:iCs/>
          <w:sz w:val="20"/>
          <w:szCs w:val="20"/>
        </w:rPr>
        <w:t xml:space="preserve"> → fluid loop → EWT → heat pump</w:t>
      </w:r>
    </w:p>
    <w:p>
      <w:pPr>
        <w:spacing w:before="0" w:after="90" w:line="252" w:lineRule="auto"/>
      </w:pPr>
      <w:r>
        <w:rPr>
          <w:b/>
          <w:bCs/>
        </w:rPr>
        <w:t xml:space="preserve">States and algebraic variables.</w:t>
      </w:r>
      <w:r>
        <w:t xml:space="preserve"> With load aggregation the dynamic state is the aggregated ground-load history (about 75 cells for 20 years at 1 h); borehole-wall temperature is an output computed from that state and the current load. Mass flow is an input (constant, optionally a schedule), not a state. I neglect fluid heat capacity, so heat pump power, Q</w:t>
      </w:r>
      <w:r>
        <w:rPr>
          <w:vertAlign w:val="subscript"/>
        </w:rPr>
        <w:t xml:space="preserve">g</w:t>
      </w:r>
      <w:r>
        <w:t xml:space="preserve">, wall, mean-fluid and entering water temperatures are algebraic at each step.</w:t>
      </w:r>
    </w:p>
    <w:p>
      <w:pPr>
        <w:spacing w:before="0" w:after="90" w:line="252" w:lineRule="auto"/>
      </w:pPr>
      <w:r>
        <w:rPr>
          <w:b/>
          <w:bCs/>
        </w:rPr>
        <w:t xml:space="preserve">Wall temperature to EWT.</w:t>
      </w:r>
      <w:r>
        <w:t xml:space="preserve"> With Q</w:t>
      </w:r>
      <w:r>
        <w:rPr>
          <w:vertAlign w:val="subscript"/>
        </w:rPr>
        <w:t xml:space="preserve">g</w:t>
      </w:r>
      <w:r>
        <w:t xml:space="preserve"> &gt; 0 for heat extracted, the g-function gives T</w:t>
      </w:r>
      <w:r>
        <w:rPr>
          <w:vertAlign w:val="subscript"/>
        </w:rPr>
        <w:t xml:space="preserve">wall</w:t>
      </w:r>
      <w:r>
        <w:t xml:space="preserve"> = T</w:t>
      </w:r>
      <w:r>
        <w:rPr>
          <w:vertAlign w:val="subscript"/>
        </w:rPr>
        <w:t xml:space="preserve">g</w:t>
      </w:r>
      <w:r>
        <w:t xml:space="preserve"> − ΔT(load history, Q</w:t>
      </w:r>
      <w:r>
        <w:rPr>
          <w:vertAlign w:val="subscript"/>
        </w:rPr>
        <w:t xml:space="preserve">g</w:t>
      </w:r>
      <w:r>
        <w:t xml:space="preserve">); mean fluid temperature is T</w:t>
      </w:r>
      <w:r>
        <w:rPr>
          <w:vertAlign w:val="subscript"/>
        </w:rPr>
        <w:t xml:space="preserve">f</w:t>
      </w:r>
      <w:r>
        <w:t xml:space="preserve"> = T</w:t>
      </w:r>
      <w:r>
        <w:rPr>
          <w:vertAlign w:val="subscript"/>
        </w:rPr>
        <w:t xml:space="preserve">wall</w:t>
      </w:r>
      <w:r>
        <w:t xml:space="preserve"> − Q</w:t>
      </w:r>
      <w:r>
        <w:rPr>
          <w:vertAlign w:val="subscript"/>
        </w:rPr>
        <w:t xml:space="preserve">g</w:t>
      </w:r>
      <w:r>
        <w:t xml:space="preserve">R</w:t>
      </w:r>
      <w:r>
        <w:rPr>
          <w:vertAlign w:val="subscript"/>
        </w:rPr>
        <w:t xml:space="preserve">b</w:t>
      </w:r>
      <w:r>
        <w:t xml:space="preserve">/L with constant R</w:t>
      </w:r>
      <w:r>
        <w:rPr>
          <w:vertAlign w:val="subscript"/>
        </w:rPr>
        <w:t xml:space="preserve">b</w:t>
      </w:r>
      <w:r>
        <w:t xml:space="preserve"> ≈ 0.1 m·K/W; and EWT = T</w:t>
      </w:r>
      <w:r>
        <w:rPr>
          <w:vertAlign w:val="subscript"/>
        </w:rPr>
        <w:t xml:space="preserve">f</w:t>
      </w:r>
      <w:r>
        <w:t xml:space="preserve"> + Q</w:t>
      </w:r>
      <w:r>
        <w:rPr>
          <w:vertAlign w:val="subscript"/>
        </w:rPr>
        <w:t xml:space="preserve">g</w:t>
      </w:r>
      <w:r>
        <w:t xml:space="preserve">/(2ṁc</w:t>
      </w:r>
      <w:r>
        <w:rPr>
          <w:vertAlign w:val="subscript"/>
        </w:rPr>
        <w:t xml:space="preserve">p</w:t>
      </w:r>
      <w:r>
        <w:t xml:space="preserve">), so the fluid temperature rise Q</w:t>
      </w:r>
      <w:r>
        <w:rPr>
          <w:vertAlign w:val="subscript"/>
        </w:rPr>
        <w:t xml:space="preserve">g</w:t>
      </w:r>
      <w:r>
        <w:t xml:space="preserve">/(ṁc</w:t>
      </w:r>
      <w:r>
        <w:rPr>
          <w:vertAlign w:val="subscript"/>
        </w:rPr>
        <w:t xml:space="preserve">p</w:t>
      </w:r>
      <w:r>
        <w:t xml:space="preserve">) is carried explicitly. Ground load depends on COP and COP depends on EWT, which makes an algebraic loop in each step (Section 3). In a cooling-dominated field the drift is warm (hotter EWT, lower EER, more heat rejected, hotter ground); in a heating-dominated field it is cold. The direction, and whether the field settles toward equilibrium within 20 years, are results to test, not assumptions.</w:t>
      </w:r>
    </w:p>
    <w:p>
      <w:pPr>
        <w:spacing w:before="0" w:after="90" w:line="252" w:lineRule="auto"/>
      </w:pPr>
      <w:r>
        <w:rPr>
          <w:b/>
          <w:bCs/>
        </w:rPr>
        <w:t xml:space="preserve">Borehole interaction and unequal flow.</w:t>
      </w:r>
      <w:r>
        <w:t xml:space="preserve"> The field g-function already contains borehole-to-borehole interaction, so the baseline treats the field as one equivalent borehole with equal flow; it does not resolve interior boreholes running warmer than perimeter ones. Within my scope, unequal flow (Q4) is a fluid-side effect (per-borehole outlet temperatures differ while the ground load is the field total). Feeding it back into per-borehole ground heat transfer is beyond the schedule.</w:t>
      </w:r>
    </w:p>
    <w:p>
      <w:pPr>
        <w:spacing w:before="0" w:after="90" w:line="252" w:lineRule="auto"/>
      </w:pPr>
      <w:r>
        <w:rPr>
          <w:b/>
          <w:bCs/>
        </w:rPr>
        <w:t xml:space="preserve">Time step and horizon.</w:t>
      </w:r>
      <w:r>
        <w:t xml:space="preserve"> One hour for 20 years (175,200 steps). An hour is shorter than the g-function’s usual short-time limit (about 5r</w:t>
      </w:r>
      <w:r>
        <w:rPr>
          <w:vertAlign w:val="subscript"/>
        </w:rPr>
        <w:t xml:space="preserve">b</w:t>
      </w:r>
      <w:r>
        <w:rPr>
          <w:vertAlign w:val="superscript"/>
        </w:rPr>
        <w:t xml:space="preserve">2</w:t>
      </w:r>
      <w:r>
        <w:t xml:space="preserve">/α ≈ 8 h for r</w:t>
      </w:r>
      <w:r>
        <w:rPr>
          <w:vertAlign w:val="subscript"/>
        </w:rPr>
        <w:t xml:space="preserve">b</w:t>
      </w:r>
      <w:r>
        <w:t xml:space="preserve"> = 0.075 m), below which borehole heat capacity matters. So I claim the model resolves the daily and seasonal load shape, EWT peaks on an hourly-average basis, and hours outside limits; I do not claim sub-hourly cycling or within-day borehole transients. Multi-year drift follows the annual energy balance, which should not depend on hourly detail; a 1, 3 and 6 h time-step test will check this. Numerical challenge: heat pump lockout, capacity limits and heating/cooling mode switches make the loop discontinuous.</w:t>
      </w:r>
    </w:p>
    <w:p>
      <w:pPr>
        <w:spacing w:before="0" w:after="90" w:line="252" w:lineRule="auto"/>
      </w:pPr>
      <w:r>
        <w:rPr>
          <w:b/>
          <w:bCs/>
        </w:rPr>
        <w:t xml:space="preserve">Data, runtime and credibility.</w:t>
      </w:r>
      <w:r>
        <w:t xml:space="preserve"> </w:t>
      </w:r>
      <w:r>
        <w:rPr>
          <w:i/>
          <w:iCs/>
        </w:rPr>
        <w:t xml:space="preserve">Load:</w:t>
      </w:r>
      <w:r>
        <w:t xml:space="preserve"> the 8,760 h thermal heating and cooling load of a DOE/ASHRAE 90.1 prototype medium office in Madison, WI (climate zone 6A), repeated for 20 years in the baseline. </w:t>
      </w:r>
      <w:r>
        <w:rPr>
          <w:i/>
          <w:iCs/>
        </w:rPr>
        <w:t xml:space="preserve">Heat pump:</w:t>
      </w:r>
      <w:r>
        <w:t xml:space="preserve"> COP/EER and capacity versus EWT fitted to a manufacturer catalog table. </w:t>
      </w:r>
      <w:r>
        <w:rPr>
          <w:i/>
          <w:iCs/>
        </w:rPr>
        <w:t xml:space="preserve">Assumed:</w:t>
      </w:r>
      <w:r>
        <w:t xml:space="preserve"> k = 2 W/m·K, α = 10</w:t>
      </w:r>
      <w:r>
        <w:rPr>
          <w:vertAlign w:val="superscript"/>
        </w:rPr>
        <w:t xml:space="preserve">−6</w:t>
      </w:r>
      <w:r>
        <w:t xml:space="preserve"> m</w:t>
      </w:r>
      <w:r>
        <w:rPr>
          <w:vertAlign w:val="superscript"/>
        </w:rPr>
        <w:t xml:space="preserve">2</w:t>
      </w:r>
      <w:r>
        <w:t xml:space="preserve">/s, T</w:t>
      </w:r>
      <w:r>
        <w:rPr>
          <w:vertAlign w:val="subscript"/>
        </w:rPr>
        <w:t xml:space="preserve">g</w:t>
      </w:r>
      <w:r>
        <w:t xml:space="preserve"> = 10 °C, EWT limits of 0 °C (heating) and 32 °C (cooling), typical design values (replaced by the catalog range if it differs). </w:t>
      </w:r>
      <w:r>
        <w:rPr>
          <w:i/>
          <w:iCs/>
        </w:rPr>
        <w:t xml:space="preserve">Runtime:</w:t>
      </w:r>
      <w:r>
        <w:t xml:space="preserve"> a 175,200-step coupled run with a 16-borehole g-function took about 2 s in a quick pygfunction test, so the planned ≈25 runs (5 lengths × 2 heat pump models, plus time-step and weather cases) are cheap, even at 100× slower. </w:t>
      </w:r>
      <w:r>
        <w:rPr>
          <w:i/>
          <w:iCs/>
        </w:rPr>
        <w:t xml:space="preserve">Credibility:</w:t>
      </w:r>
      <w:r>
        <w:t xml:space="preserve"> with no external dataset, I will check that (i) zero net annual imbalance gives no multi-year drift, (ii) a constant-load single borehole matches the line-source estimate at mid-range times, (iii) the energy balance closes, and (iv) the time-step test.</w:t>
      </w:r>
    </w:p>
    <w:p>
      <w:pPr>
        <w:pStyle w:val="Heading1"/>
        <w:spacing w:before="200" w:after="60"/>
        <w:rPr>
          <w:color w:val="auto"/>
        </w:rPr>
      </w:pPr>
      <w:r>
        <w:rPr>
          <w:color w:val="auto"/>
        </w:rPr>
        <w:t xml:space="preserve">3  Analysis and special features</w:t>
      </w:r>
    </w:p>
    <w:p>
      <w:pPr>
        <w:spacing w:before="0" w:after="90" w:line="252" w:lineRule="auto"/>
      </w:pPr>
      <w:r>
        <w:t xml:space="preserve">The essential analysis is the field-length sweep (Q1: L/L</w:t>
      </w:r>
      <w:r>
        <w:rPr>
          <w:vertAlign w:val="subscript"/>
        </w:rPr>
        <w:t xml:space="preserve">0</w:t>
      </w:r>
      <w:r>
        <w:t xml:space="preserve"> = 0.7, 0.85, 1.0, 1.15, 1.3), with Q2 comparing constant and EWT-dependent COP at L</w:t>
      </w:r>
      <w:r>
        <w:rPr>
          <w:vertAlign w:val="subscript"/>
        </w:rPr>
        <w:t xml:space="preserve">0</w:t>
      </w:r>
      <w:r>
        <w:t xml:space="preserve">. Q3 (weather years), Q4 (flow imbalance, including direct versus reverse return), pressure drop and pump energy are extensions. Outputs: hourly EWT; annual minimum and maximum EWT by year; first year and total hours outside 0–32 °C; wall and mean-fluid temperature; heat pump COP/EER and annual electricity use; and ground load per metre (W/m) with net annual imbalance (kWh/m). Flow rate, pressure drop and pump energy appear only with the flow-network extension.</w:t>
      </w:r>
    </w:p>
    <w:p>
      <w:pPr>
        <w:spacing w:before="0" w:after="90" w:line="252" w:lineRule="auto"/>
      </w:pPr>
      <w:r>
        <w:rPr>
          <w:b/>
          <w:bCs/>
        </w:rPr>
        <w:t xml:space="preserve">Special feature: the COP–EWT loop.</w:t>
      </w:r>
      <w:r>
        <w:t xml:space="preserve"> The main deliverable is the coupled 20-year hourly model; no new numerical method is needed. Writing the loop as EWT = g(EWT), the slope is g′ = −R</w:t>
      </w:r>
      <w:r>
        <w:rPr>
          <w:vertAlign w:val="subscript"/>
        </w:rPr>
        <w:t xml:space="preserve">eff</w:t>
      </w:r>
      <w:r>
        <w:t xml:space="preserve">Q(dCOP/dEWT)/COP</w:t>
      </w:r>
      <w:r>
        <w:rPr>
          <w:vertAlign w:val="superscript"/>
        </w:rPr>
        <w:t xml:space="preserve">2</w:t>
      </w:r>
      <w:r>
        <w:t xml:space="preserve">, where Q is the heat pump load per borehole and R</w:t>
      </w:r>
      <w:r>
        <w:rPr>
          <w:vertAlign w:val="subscript"/>
        </w:rPr>
        <w:t xml:space="preserve">eff</w:t>
      </w:r>
      <w:r>
        <w:t xml:space="preserve"> ≈ 4×10</w:t>
      </w:r>
      <w:r>
        <w:rPr>
          <w:vertAlign w:val="superscript"/>
        </w:rPr>
        <w:t xml:space="preserve">−4</w:t>
      </w:r>
      <w:r>
        <w:t xml:space="preserve"> K/W (at 0.3 kg/s per borehole) is the net resistance from ground load to EWT. For Q = 4–8 kW and dCOP/dEWT ≈ 0.1 K</w:t>
      </w:r>
      <w:r>
        <w:rPr>
          <w:vertAlign w:val="superscript"/>
        </w:rPr>
        <w:t xml:space="preserve">−1</w:t>
      </w:r>
      <w:r>
        <w:t xml:space="preserve">, |g′| ≈ 0.01–0.03 (0.004 in a quick synthetic test), far below 1. Plain successive substitution (Picard) should therefore converge to 10</w:t>
      </w:r>
      <w:r>
        <w:rPr>
          <w:vertAlign w:val="superscript"/>
        </w:rPr>
        <w:t xml:space="preserve">−3</w:t>
      </w:r>
      <w:r>
        <w:t xml:space="preserve"> K in 2–3 iterations without relaxation or the secant method. The risk is lockout or capacity limits, where g is discontinuous: there I will clamp the heat pump at its limit and record the unmet load rather than iterate across the jump.</w:t>
      </w:r>
    </w:p>
    <w:p>
      <w:pPr>
        <w:pStyle w:val="Heading1"/>
        <w:spacing w:before="200" w:after="60"/>
        <w:rPr>
          <w:color w:val="auto"/>
        </w:rPr>
      </w:pPr>
      <w:r>
        <w:rPr>
          <w:color w:val="auto"/>
        </w:rPr>
        <w:t xml:space="preserve">4  Milestones and project check-in</w:t>
      </w:r>
    </w:p>
    <w:p>
      <w:pPr>
        <w:keepNext/>
        <w:spacing w:before="0" w:after="60" w:line="252" w:lineRule="auto"/>
      </w:pPr>
      <w:r>
        <w:t xml:space="preserve">Project review: 11/2 or 11/4 (to be confirmed; I plan for 11/2). Presentation: 12/7. Report: 12/15.</w:t>
      </w:r>
    </w:p>
    <w:tbl>
      <w:tblPr>
        <w:tblStyle w:val="TableGrid"/>
        <w:tblW w:w="9648" w:type="dxa"/>
        <w:tblLayout w:type="fixed"/>
        <w:tblCellMar>
          <w:left w:w="50" w:type="dxa"/>
          <w:right w:w="50" w:type="dxa"/>
        </w:tblCellMar>
        <w:tblLook w:val="04A0" w:firstRow="1" w:lastRow="0" w:firstColumn="1" w:lastColumn="0" w:noHBand="0" w:noVBand="1"/>
      </w:tblPr>
      <w:tblGrid>
        <w:gridCol w:w="3600"/>
        <w:gridCol w:w="605"/>
        <w:gridCol w:w="605"/>
        <w:gridCol w:w="605"/>
        <w:gridCol w:w="605"/>
        <w:gridCol w:w="605"/>
        <w:gridCol w:w="605"/>
        <w:gridCol w:w="605"/>
        <w:gridCol w:w="605"/>
        <w:gridCol w:w="604"/>
        <w:gridCol w:w="604"/>
      </w:tblGrid>
      <w:tr>
        <w:trPr>
          <w:cantSplit/>
          <w:trHeight w:val="250" w:hRule="atLeast"/>
        </w:trPr>
        <w:tc>
          <w:tcPr>
            <w:tcW w:w="3600" w:type="dxa"/>
            <w:vAlign w:val="center"/>
          </w:tcPr>
          <w:p>
            <w:pPr>
              <w:keepNext/>
              <w:spacing w:after="0" w:line="240" w:lineRule="auto"/>
              <w:jc w:val="left"/>
            </w:pPr>
            <w:r>
              <w:rPr>
                <w:b/>
                <w:bCs/>
                <w:sz w:val="16"/>
                <w:szCs w:val="16"/>
              </w:rPr>
              <w:t xml:space="preserve">Phase (week starting →)</w:t>
            </w:r>
          </w:p>
        </w:tc>
        <w:tc>
          <w:tcPr>
            <w:tcW w:w="605" w:type="dxa"/>
            <w:vAlign w:val="center"/>
          </w:tcPr>
          <w:p>
            <w:pPr>
              <w:keepNext/>
              <w:spacing w:after="0" w:line="240" w:lineRule="auto"/>
              <w:jc w:val="center"/>
            </w:pPr>
            <w:r>
              <w:rPr>
                <w:b/>
                <w:bCs/>
                <w:sz w:val="15"/>
                <w:szCs w:val="15"/>
              </w:rPr>
              <w:t xml:space="preserve">10/12</w:t>
            </w:r>
          </w:p>
        </w:tc>
        <w:tc>
          <w:tcPr>
            <w:tcW w:w="605" w:type="dxa"/>
            <w:vAlign w:val="center"/>
          </w:tcPr>
          <w:p>
            <w:pPr>
              <w:keepNext/>
              <w:spacing w:after="0" w:line="240" w:lineRule="auto"/>
              <w:jc w:val="center"/>
            </w:pPr>
            <w:r>
              <w:rPr>
                <w:b/>
                <w:bCs/>
                <w:sz w:val="15"/>
                <w:szCs w:val="15"/>
              </w:rPr>
              <w:t xml:space="preserve">10/19</w:t>
            </w:r>
          </w:p>
        </w:tc>
        <w:tc>
          <w:tcPr>
            <w:tcW w:w="605" w:type="dxa"/>
            <w:vAlign w:val="center"/>
          </w:tcPr>
          <w:p>
            <w:pPr>
              <w:keepNext/>
              <w:spacing w:after="0" w:line="240" w:lineRule="auto"/>
              <w:jc w:val="center"/>
            </w:pPr>
            <w:r>
              <w:rPr>
                <w:b/>
                <w:bCs/>
                <w:sz w:val="15"/>
                <w:szCs w:val="15"/>
              </w:rPr>
              <w:t xml:space="preserve">10/26</w:t>
            </w:r>
          </w:p>
        </w:tc>
        <w:tc>
          <w:tcPr>
            <w:tcW w:w="605" w:type="dxa"/>
            <w:vAlign w:val="center"/>
          </w:tcPr>
          <w:p>
            <w:pPr>
              <w:keepNext/>
              <w:spacing w:after="0" w:line="240" w:lineRule="auto"/>
              <w:jc w:val="center"/>
            </w:pPr>
            <w:r>
              <w:rPr>
                <w:b/>
                <w:bCs/>
                <w:sz w:val="15"/>
                <w:szCs w:val="15"/>
              </w:rPr>
              <w:t xml:space="preserve">11/2</w:t>
            </w:r>
          </w:p>
        </w:tc>
        <w:tc>
          <w:tcPr>
            <w:tcW w:w="605" w:type="dxa"/>
            <w:vAlign w:val="center"/>
          </w:tcPr>
          <w:p>
            <w:pPr>
              <w:keepNext/>
              <w:spacing w:after="0" w:line="240" w:lineRule="auto"/>
              <w:jc w:val="center"/>
            </w:pPr>
            <w:r>
              <w:rPr>
                <w:b/>
                <w:bCs/>
                <w:sz w:val="15"/>
                <w:szCs w:val="15"/>
              </w:rPr>
              <w:t xml:space="preserve">11/9</w:t>
            </w:r>
          </w:p>
        </w:tc>
        <w:tc>
          <w:tcPr>
            <w:tcW w:w="605" w:type="dxa"/>
            <w:vAlign w:val="center"/>
          </w:tcPr>
          <w:p>
            <w:pPr>
              <w:keepNext/>
              <w:spacing w:after="0" w:line="240" w:lineRule="auto"/>
              <w:jc w:val="center"/>
            </w:pPr>
            <w:r>
              <w:rPr>
                <w:b/>
                <w:bCs/>
                <w:sz w:val="15"/>
                <w:szCs w:val="15"/>
              </w:rPr>
              <w:t xml:space="preserve">11/16</w:t>
            </w:r>
          </w:p>
        </w:tc>
        <w:tc>
          <w:tcPr>
            <w:tcW w:w="605" w:type="dxa"/>
            <w:vAlign w:val="center"/>
          </w:tcPr>
          <w:p>
            <w:pPr>
              <w:keepNext/>
              <w:spacing w:after="0" w:line="240" w:lineRule="auto"/>
              <w:jc w:val="center"/>
            </w:pPr>
            <w:r>
              <w:rPr>
                <w:b/>
                <w:bCs/>
                <w:sz w:val="15"/>
                <w:szCs w:val="15"/>
              </w:rPr>
              <w:t xml:space="preserve">11/23</w:t>
            </w:r>
          </w:p>
        </w:tc>
        <w:tc>
          <w:tcPr>
            <w:tcW w:w="605" w:type="dxa"/>
            <w:vAlign w:val="center"/>
          </w:tcPr>
          <w:p>
            <w:pPr>
              <w:keepNext/>
              <w:spacing w:after="0" w:line="240" w:lineRule="auto"/>
              <w:jc w:val="center"/>
            </w:pPr>
            <w:r>
              <w:rPr>
                <w:b/>
                <w:bCs/>
                <w:sz w:val="15"/>
                <w:szCs w:val="15"/>
              </w:rPr>
              <w:t xml:space="preserve">11/30</w:t>
            </w:r>
          </w:p>
        </w:tc>
        <w:tc>
          <w:tcPr>
            <w:tcW w:w="604" w:type="dxa"/>
            <w:vAlign w:val="center"/>
          </w:tcPr>
          <w:p>
            <w:pPr>
              <w:keepNext/>
              <w:spacing w:after="0" w:line="240" w:lineRule="auto"/>
              <w:jc w:val="center"/>
            </w:pPr>
            <w:r>
              <w:rPr>
                <w:b/>
                <w:bCs/>
                <w:sz w:val="15"/>
                <w:szCs w:val="15"/>
              </w:rPr>
              <w:t xml:space="preserve">12/7</w:t>
            </w:r>
          </w:p>
        </w:tc>
        <w:tc>
          <w:tcPr>
            <w:tcW w:w="604" w:type="dxa"/>
            <w:vAlign w:val="center"/>
          </w:tcPr>
          <w:p>
            <w:pPr>
              <w:keepNext/>
              <w:spacing w:after="0" w:line="240" w:lineRule="auto"/>
              <w:jc w:val="center"/>
            </w:pPr>
            <w:r>
              <w:rPr>
                <w:b/>
                <w:bCs/>
                <w:sz w:val="15"/>
                <w:szCs w:val="15"/>
              </w:rPr>
              <w:t xml:space="preserve">12/14</w:t>
            </w:r>
          </w:p>
        </w:tc>
      </w:tr>
      <w:tr>
        <w:trPr>
          <w:cantSplit/>
          <w:trHeight w:val="250" w:hRule="atLeast"/>
        </w:trPr>
        <w:tc>
          <w:tcPr>
            <w:tcW w:w="3600" w:type="dxa"/>
            <w:vAlign w:val="center"/>
          </w:tcPr>
          <w:p>
            <w:pPr>
              <w:keepNext/>
              <w:spacing w:after="0" w:line="240" w:lineRule="auto"/>
              <w:jc w:val="left"/>
            </w:pPr>
            <w:r>
              <w:rPr>
                <w:sz w:val="16"/>
                <w:szCs w:val="16"/>
              </w:rPr>
              <w:t xml:space="preserve">1 Components, load data (10/12–10/25)</w:t>
            </w: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2 Baseline: 1 bore, constant COP (10/19–11/1)</w:t>
            </w: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3 Field model, COP(EWT) loop (11/2–11/15)</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4 Length sweep, COP study (11/9–11/22)</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5 Plots, interpretation (11/23–12/6)</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6 Presentation prep, report (11/30–12/15)</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2F5F8F"/>
            <w:vAlign w:val="center"/>
          </w:tcPr>
          <w:p>
            <w:pPr>
              <w:keepNext/>
              <w:spacing w:after="0" w:line="240" w:lineRule="auto"/>
              <w:jc w:val="left"/>
            </w:pPr>
          </w:p>
        </w:tc>
        <w:tc>
          <w:tcPr>
            <w:tcW w:w="604" w:type="dxa"/>
            <w:shd w:val="clear" w:color="auto" w:fill="2F5F8F"/>
            <w:vAlign w:val="center"/>
          </w:tcPr>
          <w:p>
            <w:pPr>
              <w:keepNext/>
              <w:spacing w:after="0" w:line="240" w:lineRule="auto"/>
              <w:jc w:val="left"/>
            </w:pPr>
          </w:p>
        </w:tc>
        <w:tc>
          <w:tcPr>
            <w:tcW w:w="604" w:type="dxa"/>
            <w:shd w:val="clear" w:color="auto" w:fill="2F5F8F"/>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Extensions Q3–Q4, if time (11/16–11/29)</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BDD7EE"/>
            <w:vAlign w:val="center"/>
          </w:tcPr>
          <w:p>
            <w:pPr>
              <w:keepNext/>
              <w:spacing w:after="0" w:line="240" w:lineRule="auto"/>
              <w:jc w:val="left"/>
            </w:pPr>
          </w:p>
        </w:tc>
        <w:tc>
          <w:tcPr>
            <w:tcW w:w="605" w:type="dxa"/>
            <w:shd w:val="clear" w:color="auto" w:fill="BDD7EE"/>
            <w:vAlign w:val="center"/>
          </w:tcPr>
          <w:p>
            <w:pPr>
              <w:keepNext/>
              <w:spacing w:after="0" w:line="240" w:lineRule="auto"/>
              <w:jc w:val="left"/>
            </w:pPr>
          </w:p>
        </w:tc>
        <w:tc>
          <w:tcPr>
            <w:tcW w:w="605" w:type="dxa"/>
            <w:vAlign w:val="center"/>
          </w:tcPr>
          <w:p>
            <w:pPr>
              <w:keepNext/>
              <w:spacing w:after="0" w:line="240" w:lineRule="auto"/>
              <w:jc w:val="left"/>
            </w:pPr>
          </w:p>
        </w:tc>
        <w:tc>
          <w:tcPr>
            <w:tcW w:w="604" w:type="dxa"/>
            <w:vAlign w:val="center"/>
          </w:tcPr>
          <w:p>
            <w:pPr>
              <w:keepNext/>
              <w:spacing w:after="0" w:line="240" w:lineRule="auto"/>
              <w:jc w:val="left"/>
            </w:pPr>
          </w:p>
        </w:tc>
        <w:tc>
          <w:tcPr>
            <w:tcW w:w="604" w:type="dxa"/>
            <w:vAlign w:val="center"/>
          </w:tcPr>
          <w:p>
            <w:pPr>
              <w:keepNext/>
              <w:spacing w:after="0" w:line="240" w:lineRule="auto"/>
              <w:jc w:val="left"/>
            </w:pPr>
          </w:p>
        </w:tc>
      </w:tr>
      <w:tr>
        <w:trPr>
          <w:cantSplit/>
          <w:trHeight w:val="250" w:hRule="atLeast"/>
        </w:trPr>
        <w:tc>
          <w:tcPr>
            <w:tcW w:w="3600" w:type="dxa"/>
            <w:vAlign w:val="center"/>
          </w:tcPr>
          <w:p>
            <w:pPr>
              <w:keepNext/>
              <w:spacing w:after="0" w:line="240" w:lineRule="auto"/>
              <w:jc w:val="left"/>
            </w:pPr>
            <w:r>
              <w:rPr>
                <w:sz w:val="16"/>
                <w:szCs w:val="16"/>
              </w:rPr>
              <w:t xml:space="preserve">Milestones</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shd w:val="clear" w:color="auto" w:fill="F4B183"/>
            <w:vAlign w:val="center"/>
          </w:tcPr>
          <w:p>
            <w:pPr>
              <w:keepNext/>
              <w:spacing w:after="0" w:line="240" w:lineRule="auto"/>
              <w:jc w:val="center"/>
            </w:pPr>
            <w:r>
              <w:rPr>
                <w:b/>
                <w:bCs/>
                <w:sz w:val="14"/>
                <w:szCs w:val="14"/>
              </w:rPr>
              <w:t xml:space="preserve">Review</w:t>
            </w: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5" w:type="dxa"/>
            <w:vAlign w:val="center"/>
          </w:tcPr>
          <w:p>
            <w:pPr>
              <w:keepNext/>
              <w:spacing w:after="0" w:line="240" w:lineRule="auto"/>
              <w:jc w:val="left"/>
            </w:pPr>
          </w:p>
        </w:tc>
        <w:tc>
          <w:tcPr>
            <w:tcW w:w="604" w:type="dxa"/>
            <w:shd w:val="clear" w:color="auto" w:fill="F4B183"/>
            <w:vAlign w:val="center"/>
          </w:tcPr>
          <w:p>
            <w:pPr>
              <w:keepNext/>
              <w:spacing w:after="0" w:line="240" w:lineRule="auto"/>
              <w:jc w:val="center"/>
            </w:pPr>
            <w:r>
              <w:rPr>
                <w:b/>
                <w:bCs/>
                <w:sz w:val="14"/>
                <w:szCs w:val="14"/>
              </w:rPr>
              <w:t xml:space="preserve">12/7</w:t>
            </w:r>
          </w:p>
        </w:tc>
        <w:tc>
          <w:tcPr>
            <w:tcW w:w="604" w:type="dxa"/>
            <w:shd w:val="clear" w:color="auto" w:fill="F4B183"/>
            <w:vAlign w:val="center"/>
          </w:tcPr>
          <w:p>
            <w:pPr>
              <w:keepNext/>
              <w:spacing w:after="0" w:line="240" w:lineRule="auto"/>
              <w:jc w:val="center"/>
            </w:pPr>
            <w:r>
              <w:rPr>
                <w:b/>
                <w:bCs/>
                <w:sz w:val="14"/>
                <w:szCs w:val="14"/>
              </w:rPr>
              <w:t xml:space="preserve">12/15</w:t>
            </w:r>
          </w:p>
        </w:tc>
      </w:tr>
    </w:tbl>
    <w:p>
      <w:pPr>
        <w:spacing w:before="100" w:after="90" w:line="252" w:lineRule="auto"/>
      </w:pPr>
      <w:r>
        <w:rPr>
          <w:b/>
          <w:bCs/>
        </w:rPr>
        <w:t xml:space="preserve">At the review I will show</w:t>
      </w:r>
      <w:r>
        <w:t xml:space="preserve"> the load input, constant-COP heat pump and ground components coupled and running a single-borehole, constant-COP case for at least one year (8,760 steps), and the full 20 years if it runs as fast as expected. Plots: hourly load, year-1 EWT and wall temperature, and annual minimum and maximum EWT versus year. I will also show the measured run time and a short list of unresolved issues (load file source, heat pump catalog data, EWT limits).</w:t>
      </w:r>
    </w:p>
    <w:p>
      <w:pPr>
        <w:pStyle w:val="Heading1"/>
        <w:spacing w:before="200" w:after="60"/>
        <w:rPr>
          <w:color w:val="auto"/>
        </w:rPr>
      </w:pPr>
      <w:r>
        <w:rPr>
          <w:color w:val="auto"/>
        </w:rPr>
        <w:t xml:space="preserve">5  Risks contingency plans and success criteria</w:t>
      </w:r>
    </w:p>
    <w:p>
      <w:pPr>
        <w:spacing w:before="0" w:after="90" w:line="252" w:lineRule="auto"/>
      </w:pPr>
      <w:r>
        <w:rPr>
          <w:b/>
          <w:bCs/>
        </w:rPr>
        <w:t xml:space="preserve">Runtime.</w:t>
      </w:r>
      <w:r>
        <w:t xml:space="preserve"> The core loop is fast (about 2 s per 20-year run in my test), so the risk is in additions: per-borehole resolution and flow-network solves multiply the work by the number of boreholes, and g-function calculations grow quickly with borehole count. The baseline keeps one equivalent borehole and constant flow. If a run exceeds about 5 min, I will move to 3 h steps (supported by the time-step test), cut the sweep to three lengths and defer Q4.</w:t>
      </w:r>
    </w:p>
    <w:p>
      <w:pPr>
        <w:spacing w:before="0" w:after="90" w:line="252" w:lineRule="auto"/>
      </w:pPr>
      <w:r>
        <w:rPr>
          <w:b/>
          <w:bCs/>
        </w:rPr>
        <w:t xml:space="preserve">Load data.</w:t>
      </w:r>
      <w:r>
        <w:t xml:space="preserve"> The risk is obtaining hourly thermal (not electric or gas) loads with a moderate heating/cooling balance, since the prototype building needs an EnergyPlus run. Fallback: a synthetic hourly load from a degree-hour model of Madison weather, calibrated to a peak and a heating-to-cooling ratio, which also makes imbalance a controlled parameter. Weather variability (Q3) is deferred; one repeated year is the baseline.</w:t>
      </w:r>
    </w:p>
    <w:p>
      <w:pPr>
        <w:spacing w:before="0" w:after="90" w:line="252" w:lineRule="auto"/>
      </w:pPr>
      <w:r>
        <w:rPr>
          <w:b/>
          <w:bCs/>
        </w:rPr>
        <w:t xml:space="preserve">Minimum successful outcome:</w:t>
      </w:r>
      <w:r>
        <w:t xml:space="preserve"> a credible 20-year EWT trajectory for a single borehole served by a constant-COP heat pump under the hourly load, with borehole length varied to answer Q1.</w:t>
      </w:r>
    </w:p>
    <w:p>
      <w:pPr>
        <w:pStyle w:val="Heading1"/>
        <w:spacing w:before="200" w:after="60"/>
        <w:rPr>
          <w:color w:val="auto"/>
        </w:rPr>
      </w:pPr>
      <w:r>
        <w:rPr>
          <w:color w:val="auto"/>
        </w:rPr>
        <w:t xml:space="preserve">AI use declaration if applicable</w:t>
      </w:r>
    </w:p>
    <w:p>
      <w:pPr>
        <w:spacing w:before="0" w:after="90" w:line="252" w:lineRule="auto"/>
      </w:pPr>
      <w:r>
        <w:t xml:space="preserve">Claude Code (Anthropic) was used while preparing this proposal to ask clarifying questions and critique draft answers; to explain background concepts; to check technical facts against public documentation; to time pygfunction and test loop convergence on a synthetic case; to time ESCLab on an existing course lab model; to draft and organize the proposal text from my answers; and to format it into the course template.</w:t>
      </w:r>
    </w:p>
    <w:p>
      <w:pPr>
        <w:spacing w:before="0" w:after="0" w:line="252" w:lineRule="auto"/>
      </w:pPr>
      <w:r>
        <w:rPr>
          <w:sz w:val="17"/>
          <w:szCs w:val="17"/>
        </w:rPr>
        <w:t xml:space="preserve">[1] Bernier, Chahla &amp; Pinel (2008), Long-term ground temperature changes in geo-exchange systems, ASHRAE Trans.  [2] Fossa &amp; Rolando (2015), Improving the ASHRAE method for vertical geothermal borefield design.  [3] Ahmadfard &amp; Bernier (2019), A review of vertical ground heat exchanger sizing tools including an inter-model comparison, Renew. Sustain. Energy Rev.  [4] Cimmino (2018), pygfunction (eSim); Claesson &amp; Javed (2012), load aggregation, ASHRAE Trans.</w:t>
      </w:r>
    </w:p>
    <w:sectPr w:rsidR="00464A7D" w:rsidRPr="007E0F4A" w:rsidSect="00034616">
      <w:footerReference w:type="default" r:id="rId8"/>
      <w:pgSz w:w="12240" w:h="15840"/>
      <w:pgMar w:top="1181" w:right="1296" w:bottom="1123"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73CC" w14:textId="77777777" w:rsidR="009E4C62" w:rsidRDefault="009E4C62">
      <w:pPr>
        <w:spacing w:after="0" w:line="240" w:lineRule="auto"/>
      </w:pPr>
      <w:r>
        <w:separator/>
      </w:r>
    </w:p>
  </w:endnote>
  <w:endnote w:type="continuationSeparator" w:id="0">
    <w:p w14:paraId="0A2EECBC" w14:textId="77777777" w:rsidR="009E4C62" w:rsidRDefault="009E4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A2CD" w14:textId="0A693010" w:rsidR="00464A7D" w:rsidRPr="001A3402" w:rsidRDefault="00000000">
    <w:pPr>
      <w:pStyle w:val="Footer"/>
      <w:jc w:val="right"/>
    </w:pPr>
    <w:proofErr w:type="gramStart"/>
    <w:r w:rsidRPr="001A3402">
      <w:t>Wagner  |</w:t>
    </w:r>
    <w:proofErr w:type="gramEnd"/>
    <w:r w:rsidRPr="001A3402">
      <w:t xml:space="preserve">  UW–Madison </w:t>
    </w:r>
    <w:r w:rsidR="001A3402">
      <w:tab/>
    </w:r>
    <w:proofErr w:type="gramStart"/>
    <w:r w:rsidR="001A3402">
      <w:tab/>
    </w:r>
    <w:r w:rsidRPr="001A3402">
      <w:t xml:space="preserve">  M</w:t>
    </w:r>
    <w:proofErr w:type="gramEnd"/>
    <w:r w:rsidRPr="001A3402">
      <w:t xml:space="preserve"> E </w:t>
    </w:r>
    <w:proofErr w:type="gramStart"/>
    <w:r w:rsidRPr="001A3402">
      <w:t>964  |</w:t>
    </w:r>
    <w:proofErr w:type="gramEnd"/>
    <w:r w:rsidRPr="001A3402">
      <w:t xml:space="preserve">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790C" w14:textId="77777777" w:rsidR="009E4C62" w:rsidRDefault="009E4C62">
      <w:pPr>
        <w:spacing w:after="0" w:line="240" w:lineRule="auto"/>
      </w:pPr>
      <w:r>
        <w:separator/>
      </w:r>
    </w:p>
  </w:footnote>
  <w:footnote w:type="continuationSeparator" w:id="0">
    <w:p w14:paraId="20591D33" w14:textId="77777777" w:rsidR="009E4C62" w:rsidRDefault="009E4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706993">
    <w:abstractNumId w:val="8"/>
  </w:num>
  <w:num w:numId="2" w16cid:durableId="1533686608">
    <w:abstractNumId w:val="6"/>
  </w:num>
  <w:num w:numId="3" w16cid:durableId="239751313">
    <w:abstractNumId w:val="5"/>
  </w:num>
  <w:num w:numId="4" w16cid:durableId="1108353720">
    <w:abstractNumId w:val="4"/>
  </w:num>
  <w:num w:numId="5" w16cid:durableId="1155953876">
    <w:abstractNumId w:val="7"/>
  </w:num>
  <w:num w:numId="6" w16cid:durableId="692608524">
    <w:abstractNumId w:val="3"/>
  </w:num>
  <w:num w:numId="7" w16cid:durableId="805045711">
    <w:abstractNumId w:val="2"/>
  </w:num>
  <w:num w:numId="8" w16cid:durableId="494690286">
    <w:abstractNumId w:val="1"/>
  </w:num>
  <w:num w:numId="9" w16cid:durableId="879898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402"/>
    <w:rsid w:val="001F3B91"/>
    <w:rsid w:val="0029639D"/>
    <w:rsid w:val="00326F90"/>
    <w:rsid w:val="00464A7D"/>
    <w:rsid w:val="007E0F4A"/>
    <w:rsid w:val="0098327C"/>
    <w:rsid w:val="009E4C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09CC0"/>
  <w14:defaultImageDpi w14:val="300"/>
  <w15:docId w15:val="{AC41291C-3C52-44D8-A8F4-CC42FD38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basedOn w:val="Normal"/>
    <w:pPr>
      <w:keepLines/>
    </w:pPr>
    <w:rPr>
      <w:i/>
      <w:color w:val="595959"/>
    </w:rPr>
  </w:style>
  <w:style w:type="paragraph" w:customStyle="1" w:styleId="CourseLabel">
    <w:name w:val="Course Label"/>
    <w:basedOn w:val="Normal"/>
    <w:pPr>
      <w:spacing w:after="100"/>
    </w:pPr>
    <w:rPr>
      <w:rFonts w:ascii="Aptos" w:hAnsi="Apto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Wagner</cp:lastModifiedBy>
  <cp:revision>4</cp:revision>
  <dcterms:created xsi:type="dcterms:W3CDTF">2013-12-23T23:15:00Z</dcterms:created>
  <dcterms:modified xsi:type="dcterms:W3CDTF">2026-09-29T02:44:00Z</dcterms:modified>
  <cp:category/>
</cp:coreProperties>
</file>