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pPr>
      <w:r>
        <w:rPr>
          <w:rFonts w:ascii="Times New Roman" w:hAnsi="Times New Roman" w:eastAsia="Times New Roman" w:cs="Times New Roman"/>
          <w:b/>
          <w:color w:val="000000"/>
          <w:sz w:val="24"/>
        </w:rPr>
        <w:t>MAKERERE UNIVERSITY</w:t>
      </w:r>
    </w:p>
    <w:p>
      <w:pPr>
        <w:spacing w:line="360" w:lineRule="auto" w:after="0" w:before="0"/>
      </w:pPr>
      <w:r>
        <w:rPr>
          <w:rFonts w:ascii="Times New Roman" w:hAnsi="Times New Roman" w:eastAsia="Times New Roman" w:cs="Times New Roman"/>
          <w:b w:val="0"/>
          <w:color w:val="000000"/>
          <w:sz w:val="24"/>
        </w:rPr>
        <w:t>IST2106 Technopreneurship and Digital Marketing</w:t>
      </w:r>
    </w:p>
    <w:p>
      <w:pPr>
        <w:pStyle w:val="Title"/>
        <w:spacing w:line="360" w:lineRule="auto" w:after="60" w:before="0"/>
      </w:pPr>
      <w:r>
        <w:rPr>
          <w:rFonts w:ascii="Times New Roman" w:hAnsi="Times New Roman" w:eastAsia="Times New Roman" w:cs="Times New Roman"/>
          <w:b/>
          <w:color w:val="000000"/>
          <w:sz w:val="24"/>
        </w:rPr>
        <w:t>Opportunity and Customer Evidence Brief</w:t>
      </w:r>
    </w:p>
    <w:p>
      <w:pPr>
        <w:spacing w:line="360" w:lineRule="auto" w:after="120" w:before="0"/>
      </w:pPr>
      <w:r>
        <w:rPr>
          <w:rFonts w:ascii="Times New Roman" w:hAnsi="Times New Roman" w:eastAsia="Times New Roman" w:cs="Times New Roman"/>
          <w:b w:val="0"/>
          <w:color w:val="000000"/>
          <w:sz w:val="24"/>
        </w:rPr>
        <w:t>JengaConnect   Evening A Group 6   Phase 1   25 October 2026</w:t>
      </w:r>
    </w:p>
    <w:tbl>
      <w:tblPr>
        <w:tblW w:type="auto" w:w="0"/>
        <w:jc w:val="center"/>
        <w:tblLayout w:type="fixed"/>
        <w:tblLook w:firstColumn="1" w:firstRow="1" w:lastColumn="0" w:lastRow="0" w:noHBand="0" w:noVBand="1" w:val="04A0"/>
      </w:tblPr>
      <w:tblGrid>
        <w:gridCol w:w="5112"/>
        <w:gridCol w:w="3902"/>
      </w:tblGrid>
      <w:tr>
        <w:trPr>
          <w:cantSplit/>
          <w:tblHeader/>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Group member</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Registration number</w:t>
            </w:r>
          </w:p>
        </w:tc>
      </w:tr>
      <w:tr>
        <w:trPr>
          <w:cantSplit/>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LUYOBYA VICENT</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25/U/03863/EVE</w:t>
            </w:r>
          </w:p>
        </w:tc>
      </w:tr>
      <w:tr>
        <w:trPr>
          <w:cantSplit/>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YIGA AKRAM</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23/U/18680/PS</w:t>
            </w:r>
          </w:p>
        </w:tc>
      </w:tr>
      <w:tr>
        <w:trPr>
          <w:cantSplit/>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KWAGALA ELVIS</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25/U/0365</w:t>
            </w:r>
          </w:p>
        </w:tc>
      </w:tr>
      <w:tr>
        <w:trPr>
          <w:cantSplit/>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MUGANWA EDRINE</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25/U/03890/EVE</w:t>
            </w:r>
          </w:p>
        </w:tc>
      </w:tr>
      <w:tr>
        <w:trPr>
          <w:cantSplit/>
        </w:trPr>
        <w:tc>
          <w:tcPr>
            <w:tcW w:type="dxa" w:w="511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MUJUNI NASEEM</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25/U/03899/EVE</w:t>
            </w:r>
          </w:p>
        </w:tc>
      </w:tr>
    </w:tbl>
    <w:p>
      <w:pPr>
        <w:pStyle w:val="Heading1"/>
        <w:keepNext/>
        <w:spacing w:line="360" w:lineRule="auto" w:after="80" w:before="120"/>
      </w:pPr>
      <w:r>
        <w:rPr>
          <w:rFonts w:ascii="Times New Roman" w:hAnsi="Times New Roman" w:eastAsia="Times New Roman" w:cs="Times New Roman"/>
          <w:b/>
          <w:color w:val="000000"/>
          <w:sz w:val="24"/>
        </w:rPr>
        <w:t>1 Opportunity comparison and selection</w:t>
      </w:r>
    </w:p>
    <w:tbl>
      <w:tblPr>
        <w:tblW w:type="auto" w:w="0"/>
        <w:jc w:val="center"/>
        <w:tblLayout w:type="fixed"/>
        <w:tblLook w:firstColumn="1" w:firstRow="1" w:lastColumn="0" w:lastRow="0" w:noHBand="0" w:noVBand="1" w:val="04A0"/>
      </w:tblPr>
      <w:tblGrid>
        <w:gridCol w:w="3096"/>
        <w:gridCol w:w="2376"/>
        <w:gridCol w:w="3542"/>
      </w:tblGrid>
      <w:tr>
        <w:trPr>
          <w:cantSplit/>
          <w:tblHeader/>
        </w:trPr>
        <w:tc>
          <w:tcPr>
            <w:tcW w:type="dxa" w:w="309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Customer problem</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People affected</w:t>
            </w:r>
          </w:p>
        </w:tc>
        <w:tc>
          <w:tcPr>
            <w:tcW w:type="dxa" w:w="354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Reason for consideration</w:t>
            </w:r>
          </w:p>
        </w:tc>
      </w:tr>
      <w:tr>
        <w:trPr>
          <w:cantSplit/>
        </w:trPr>
        <w:tc>
          <w:tcPr>
            <w:tcW w:type="dxa" w:w="309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Usable construction surplus is difficult to match with nearby buyers</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Site managers, hardware sellers and small builders</w:t>
            </w:r>
          </w:p>
        </w:tc>
        <w:tc>
          <w:tcPr>
            <w:tcW w:type="dxa" w:w="354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A clear exchange to investigate through material availability, quality and collection.</w:t>
            </w:r>
          </w:p>
        </w:tc>
      </w:tr>
      <w:tr>
        <w:trPr>
          <w:cantSplit/>
        </w:trPr>
        <w:tc>
          <w:tcPr>
            <w:tcW w:type="dxa" w:w="309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The final delivery entrance is difficult to locate</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Delivery riders and customers</w:t>
            </w:r>
          </w:p>
        </w:tc>
        <w:tc>
          <w:tcPr>
            <w:tcW w:type="dxa" w:w="354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A narrower location problem, but building access and directions require separate investigation.</w:t>
            </w:r>
          </w:p>
        </w:tc>
      </w:tr>
      <w:tr>
        <w:trPr>
          <w:cantSplit/>
        </w:trPr>
        <w:tc>
          <w:tcPr>
            <w:tcW w:type="dxa" w:w="309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Campus administrative services involve waiting</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Students and service offices</w:t>
            </w:r>
          </w:p>
        </w:tc>
        <w:tc>
          <w:tcPr>
            <w:tcW w:type="dxa" w:w="354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Easy access to potential users, but progress may depend on university process changes.</w:t>
            </w:r>
          </w:p>
        </w:tc>
      </w:tr>
    </w:tbl>
    <w:p>
      <w:pPr>
        <w:spacing w:line="360" w:lineRule="auto" w:after="0" w:before="120"/>
      </w:pPr>
      <w:r>
        <w:rPr>
          <w:rFonts w:ascii="Times New Roman" w:hAnsi="Times New Roman" w:eastAsia="Times New Roman" w:cs="Times New Roman"/>
          <w:b w:val="0"/>
          <w:color w:val="000000"/>
          <w:sz w:val="24"/>
        </w:rPr>
        <w:t>JengaConnect is our provisional choice. It builds on our construction-materials venture concept and allows investigation of both sellers and buyers. This selection is a desk comparison; customer evidence has not yet established demand.</w:t>
      </w:r>
    </w:p>
    <w:p>
      <w:r>
        <w:br w:type="page"/>
      </w:r>
    </w:p>
    <w:p>
      <w:pPr>
        <w:pStyle w:val="Heading1"/>
        <w:keepNext/>
        <w:spacing w:line="360" w:lineRule="auto" w:after="80" w:before="120"/>
      </w:pPr>
      <w:r>
        <w:rPr>
          <w:rFonts w:ascii="Times New Roman" w:hAnsi="Times New Roman" w:eastAsia="Times New Roman" w:cs="Times New Roman"/>
          <w:b/>
          <w:color w:val="000000"/>
          <w:sz w:val="24"/>
        </w:rPr>
        <w:t>2 Problem and target customers</w:t>
      </w:r>
    </w:p>
    <w:p>
      <w:pPr>
        <w:spacing w:line="360" w:lineRule="auto" w:after="80" w:before="0"/>
      </w:pPr>
      <w:r>
        <w:rPr>
          <w:rFonts w:ascii="Times New Roman" w:hAnsi="Times New Roman" w:eastAsia="Times New Roman" w:cs="Times New Roman"/>
          <w:b w:val="0"/>
          <w:color w:val="000000"/>
          <w:sz w:val="24"/>
        </w:rPr>
        <w:t>The working problem is a possible mismatch between usable leftover building materials and small buyers who could use them. A site manager may need to clear surplus, while an artisan or household builder may need a small quantity. The proposed initial area is Kampala and nearby Wakiso. These locations describe the intended research reach, not completed fieldwork.</w:t>
      </w:r>
    </w:p>
    <w:p>
      <w:pPr>
        <w:spacing w:line="360" w:lineRule="auto" w:after="80" w:before="0"/>
      </w:pPr>
      <w:r>
        <w:rPr>
          <w:rFonts w:ascii="Times New Roman" w:hAnsi="Times New Roman" w:eastAsia="Times New Roman" w:cs="Times New Roman"/>
          <w:b w:val="0"/>
          <w:color w:val="000000"/>
          <w:sz w:val="24"/>
        </w:rPr>
        <w:t>The primary customer to investigate is an adult artisan or household builder buying small quantities. Supply-side stakeholders include site managers and hardware sellers. The research will establish whether quantity, condition, distance or trust prevents an exchange, and whether the problem is frequent enough to justify a venture.</w:t>
      </w:r>
    </w:p>
    <w:p>
      <w:pPr>
        <w:pStyle w:val="Heading1"/>
        <w:keepNext/>
        <w:spacing w:line="360" w:lineRule="auto" w:after="80" w:before="120"/>
      </w:pPr>
      <w:r>
        <w:rPr>
          <w:rFonts w:ascii="Times New Roman" w:hAnsi="Times New Roman" w:eastAsia="Times New Roman" w:cs="Times New Roman"/>
          <w:b/>
          <w:color w:val="000000"/>
          <w:sz w:val="24"/>
        </w:rPr>
        <w:t>3 Research method and findings</w:t>
      </w:r>
    </w:p>
    <w:p>
      <w:pPr>
        <w:spacing w:line="360" w:lineRule="auto" w:after="80" w:before="0"/>
      </w:pPr>
      <w:r>
        <w:rPr>
          <w:rFonts w:ascii="Times New Roman" w:hAnsi="Times New Roman" w:eastAsia="Times New Roman" w:cs="Times New Roman"/>
          <w:b w:val="0"/>
          <w:color w:val="000000"/>
          <w:sz w:val="24"/>
        </w:rPr>
        <w:t>The research instrument combines a remote questionnaire with short follow-up interviews. The target is at least 10 relevant adults, including buyers and people managing surplus materials. Questions cover a recent experience, materials involved, existing alternatives, difficulties, costs and desired improvements. Participation is voluntary; names and email addresses are optional.</w:t>
      </w:r>
    </w:p>
    <w:p>
      <w:pPr>
        <w:spacing w:line="360" w:lineRule="auto" w:after="80" w:before="0"/>
      </w:pPr>
      <w:r>
        <w:rPr>
          <w:rFonts w:ascii="Times New Roman" w:hAnsi="Times New Roman" w:eastAsia="Times New Roman" w:cs="Times New Roman"/>
          <w:b w:val="0"/>
          <w:color w:val="000000"/>
          <w:sz w:val="24"/>
        </w:rPr>
        <w:t>Completed participants: 0. No interview findings, participant quotations, observed transactions or customer price estimates are available. The questionnaire and blank fieldwork records form the current research materials.</w:t>
      </w:r>
    </w:p>
    <w:p>
      <w:pPr>
        <w:spacing w:line="360" w:lineRule="auto" w:after="80" w:before="0"/>
      </w:pPr>
      <w:r>
        <w:rPr>
          <w:rFonts w:ascii="Times New Roman" w:hAnsi="Times New Roman" w:eastAsia="Times New Roman" w:cs="Times New Roman"/>
          <w:b w:val="0"/>
          <w:color w:val="000000"/>
          <w:sz w:val="24"/>
        </w:rPr>
        <w:t xml:space="preserve">Questionnaire: </w:t>
      </w:r>
      <w:hyperlink r:id="rId10">
        <w:r>
          <w:rPr>
            <w:rFonts w:ascii="Times New Roman" w:hAnsi="Times New Roman"/>
            <w:color w:val="000000"/>
            <w:sz w:val="24"/>
          </w:rPr>
          <w:t>Customer discovery form</w:t>
        </w:r>
      </w:hyperlink>
    </w:p>
    <w:p>
      <w:pPr>
        <w:pStyle w:val="Heading1"/>
        <w:keepNext/>
        <w:spacing w:line="360" w:lineRule="auto" w:after="80" w:before="120"/>
      </w:pPr>
      <w:r>
        <w:rPr>
          <w:rFonts w:ascii="Times New Roman" w:hAnsi="Times New Roman" w:eastAsia="Times New Roman" w:cs="Times New Roman"/>
          <w:b/>
          <w:color w:val="000000"/>
          <w:sz w:val="24"/>
        </w:rPr>
        <w:t>4 Alternatives and unmet needs</w:t>
      </w:r>
    </w:p>
    <w:p>
      <w:pPr>
        <w:spacing w:line="360" w:lineRule="auto" w:after="0" w:before="0"/>
      </w:pPr>
      <w:r>
        <w:rPr>
          <w:rFonts w:ascii="Times New Roman" w:hAnsi="Times New Roman" w:eastAsia="Times New Roman" w:cs="Times New Roman"/>
          <w:b w:val="0"/>
          <w:color w:val="000000"/>
          <w:sz w:val="24"/>
        </w:rPr>
        <w:t>Alternatives to investigate include personal contacts, hardware shops, general classified listings, storage for later use and disposal. Their suitability will depend on the material, amount, condition and transport cost. An unmet need is provisionally defined as a difficulty that respondents still face after using these alternatives. No alternative has yet been rated by participants.</w:t>
      </w:r>
    </w:p>
    <w:p>
      <w:r>
        <w:br w:type="page"/>
      </w:r>
    </w:p>
    <w:p>
      <w:pPr>
        <w:pStyle w:val="Heading1"/>
        <w:keepNext/>
        <w:spacing w:line="360" w:lineRule="auto" w:after="80" w:before="120"/>
      </w:pPr>
      <w:r>
        <w:rPr>
          <w:rFonts w:ascii="Times New Roman" w:hAnsi="Times New Roman" w:eastAsia="Times New Roman" w:cs="Times New Roman"/>
          <w:b/>
          <w:color w:val="000000"/>
          <w:sz w:val="24"/>
        </w:rPr>
        <w:t>5 Technology opportunity and value proposition</w:t>
      </w:r>
    </w:p>
    <w:p>
      <w:pPr>
        <w:spacing w:line="360" w:lineRule="auto" w:after="80" w:before="0"/>
      </w:pPr>
      <w:r>
        <w:rPr>
          <w:rFonts w:ascii="Times New Roman" w:hAnsi="Times New Roman" w:eastAsia="Times New Roman" w:cs="Times New Roman"/>
          <w:b w:val="0"/>
          <w:color w:val="000000"/>
          <w:sz w:val="24"/>
        </w:rPr>
        <w:t>JengaConnect would provide local listings of surplus non-hazardous building materials. A seller would describe the item, quantity, condition, general area and asking price. A buyer would search relevant listings, contact the seller, inspect the materials and agree collection. Public listings would not reveal exact private site addresses.</w:t>
      </w:r>
    </w:p>
    <w:p>
      <w:pPr>
        <w:spacing w:line="360" w:lineRule="auto" w:after="80" w:before="0"/>
      </w:pPr>
      <w:r>
        <w:rPr>
          <w:rFonts w:ascii="Times New Roman" w:hAnsi="Times New Roman" w:eastAsia="Times New Roman" w:cs="Times New Roman"/>
          <w:b w:val="0"/>
          <w:color w:val="000000"/>
          <w:sz w:val="24"/>
        </w:rPr>
        <w:t>The initial value proposition is a practical way to locate small quantities of reusable materials and connect with a nearby seller. It aims to reduce the effort of finding a suitable match. Savings, demand and willingness to pay remain untested. Escrow, USSD and delivery integration are outside the initial concept.</w:t>
      </w:r>
    </w:p>
    <w:p>
      <w:pPr>
        <w:pStyle w:val="Heading1"/>
        <w:keepNext/>
        <w:spacing w:line="360" w:lineRule="auto" w:after="80" w:before="120"/>
      </w:pPr>
      <w:r>
        <w:rPr>
          <w:rFonts w:ascii="Times New Roman" w:hAnsi="Times New Roman" w:eastAsia="Times New Roman" w:cs="Times New Roman"/>
          <w:b/>
          <w:color w:val="000000"/>
          <w:sz w:val="24"/>
        </w:rPr>
        <w:t>6 Assumptions for Week 2</w:t>
      </w:r>
    </w:p>
    <w:tbl>
      <w:tblPr>
        <w:tblW w:type="auto" w:w="0"/>
        <w:jc w:val="center"/>
        <w:tblLayout w:type="fixed"/>
        <w:tblLook w:firstColumn="1" w:firstRow="1" w:lastColumn="0" w:lastRow="0" w:noHBand="0" w:noVBand="1" w:val="04A0"/>
      </w:tblPr>
      <w:tblGrid>
        <w:gridCol w:w="4392"/>
        <w:gridCol w:w="4622"/>
      </w:tblGrid>
      <w:tr>
        <w:trPr>
          <w:cantSplit/>
          <w:tblHeader/>
        </w:trPr>
        <w:tc>
          <w:tcPr>
            <w:tcW w:type="dxa" w:w="43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Assumption</w:t>
            </w:r>
          </w:p>
        </w:tc>
        <w:tc>
          <w:tcPr>
            <w:tcW w:type="dxa" w:w="462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4"/>
              </w:rPr>
              <w:t>Proposed test</w:t>
            </w:r>
          </w:p>
        </w:tc>
      </w:tr>
      <w:tr>
        <w:trPr>
          <w:cantSplit/>
        </w:trPr>
        <w:tc>
          <w:tcPr>
            <w:tcW w:type="dxa" w:w="43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Usable surplus is available often enough for local listings.</w:t>
            </w:r>
          </w:p>
        </w:tc>
        <w:tc>
          <w:tcPr>
            <w:tcW w:type="dxa" w:w="462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Ask sellers about a recent surplus event and what happened to the materials.</w:t>
            </w:r>
          </w:p>
        </w:tc>
      </w:tr>
      <w:tr>
        <w:trPr>
          <w:cantSplit/>
        </w:trPr>
        <w:tc>
          <w:tcPr>
            <w:tcW w:type="dxa" w:w="43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Buyers can accept reused materials after suitable checks.</w:t>
            </w:r>
          </w:p>
        </w:tc>
        <w:tc>
          <w:tcPr>
            <w:tcW w:type="dxa" w:w="462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Show a simple listing and ask which condition, quantity and inspection details affect a decision.</w:t>
            </w:r>
          </w:p>
        </w:tc>
      </w:tr>
      <w:tr>
        <w:trPr>
          <w:cantSplit/>
        </w:trPr>
        <w:tc>
          <w:tcPr>
            <w:tcW w:type="dxa" w:w="43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Collection costs leave an exchange worthwhile.</w:t>
            </w:r>
          </w:p>
        </w:tc>
        <w:tc>
          <w:tcPr>
            <w:tcW w:type="dxa" w:w="462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4"/>
              </w:rPr>
              <w:t>Compare a real buyer and seller scenario, including quoted collection cost where available.</w:t>
            </w:r>
          </w:p>
        </w:tc>
      </w:tr>
    </w:tbl>
    <w:p>
      <w:pPr>
        <w:pStyle w:val="Heading1"/>
        <w:keepNext/>
        <w:spacing w:line="360" w:lineRule="auto" w:after="80" w:before="120"/>
      </w:pPr>
      <w:r>
        <w:rPr>
          <w:rFonts w:ascii="Times New Roman" w:hAnsi="Times New Roman" w:eastAsia="Times New Roman" w:cs="Times New Roman"/>
          <w:b/>
          <w:color w:val="000000"/>
          <w:sz w:val="24"/>
        </w:rPr>
        <w:t>Sources</w:t>
      </w:r>
    </w:p>
    <w:p>
      <w:pPr>
        <w:spacing w:line="360" w:lineRule="auto" w:after="0" w:before="0"/>
      </w:pPr>
      <w:r>
        <w:rPr>
          <w:rFonts w:ascii="Times New Roman" w:hAnsi="Times New Roman" w:eastAsia="Times New Roman" w:cs="Times New Roman"/>
          <w:b w:val="0"/>
          <w:color w:val="000000"/>
          <w:sz w:val="24"/>
        </w:rPr>
        <w:t>Makerere University. IST2106 Week 1 Group Capstone Assignment, MUELE activity 200270, accessed 25 October 2026. Evening A Group 6. Turning Construction Waste into Value, unpublished presentation, n.d.</w:t>
      </w:r>
    </w:p>
    <w:p>
      <w:pPr>
        <w:pStyle w:val="Heading1"/>
        <w:keepNext/>
        <w:spacing w:line="360" w:lineRule="auto" w:after="80" w:before="120"/>
      </w:pPr>
      <w:r>
        <w:rPr>
          <w:rFonts w:ascii="Times New Roman" w:hAnsi="Times New Roman" w:eastAsia="Times New Roman" w:cs="Times New Roman"/>
          <w:b/>
          <w:color w:val="000000"/>
          <w:sz w:val="24"/>
        </w:rPr>
        <w:t>Video references</w:t>
      </w:r>
    </w:p>
    <w:p>
      <w:pPr>
        <w:spacing w:line="360" w:lineRule="auto" w:after="0" w:before="0"/>
      </w:pPr>
      <w:r>
        <w:rPr>
          <w:rFonts w:ascii="Times New Roman" w:hAnsi="Times New Roman" w:eastAsia="Times New Roman" w:cs="Times New Roman"/>
          <w:b w:val="0"/>
          <w:color w:val="000000"/>
          <w:sz w:val="24"/>
        </w:rPr>
        <w:t>V01 Presentation: pending</w:t>
        <w:br/>
        <w:t>V02 Fieldwork and findings: pending</w:t>
        <w:br/>
        <w:t>V03 Team meeting: pending</w:t>
      </w:r>
    </w:p>
    <w:sectPr w:rsidR="00FC693F" w:rsidRPr="0006063C" w:rsidSect="00034616">
      <w:footerReference w:type="default" r:id="rId9"/>
      <w:pgSz w:w="11906" w:h="16838"/>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8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80" w:before="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forms/d/e/1FAIpQLSdGQXBqcwH-RufDvMg1ertpdn7rB-wGbRY3yxqkQm2fP-nJkA/viewform?usp=di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and Customer Evidence Brief</dc:title>
  <dc:subject>IST2106 Phase 1 JengaConnect</dc:subject>
  <dc:creator>Evening A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