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JengaConnect solution validation and business model</w:t>
      </w:r>
    </w:p>
    <w:p>
      <w:r>
        <w:rPr>
          <w:rFonts w:ascii="Times New Roman" w:hAnsi="Times New Roman" w:eastAsia="Times New Roman" w:cs="Times New Roman"/>
          <w:b/>
          <w:color w:val="000000"/>
        </w:rPr>
        <w:t>IST2106 Technopreneurship and Digital Marketing</w:t>
      </w:r>
    </w:p>
    <w:p>
      <w:r>
        <w:rPr>
          <w:rFonts w:ascii="Times New Roman" w:hAnsi="Times New Roman" w:eastAsia="Times New Roman" w:cs="Times New Roman"/>
          <w:b w:val="0"/>
          <w:color w:val="000000"/>
        </w:rPr>
        <w:t>Module 2   Evening A Group 6   26 October to 1 November 2026</w:t>
      </w:r>
    </w:p>
    <w:tbl>
      <w:tblPr>
        <w:tblW w:type="auto" w:w="0"/>
        <w:jc w:val="center"/>
        <w:tblLayout w:type="fixed"/>
        <w:tblLook w:firstColumn="1" w:firstRow="1" w:lastColumn="0" w:lastRow="0" w:noHBand="0" w:noVBand="1" w:val="04A0"/>
      </w:tblPr>
      <w:tblGrid>
        <w:gridCol w:w="5256"/>
        <w:gridCol w:w="3773"/>
      </w:tblGrid>
      <w:tr>
        <w:trPr>
          <w:tblHeader/>
        </w:trP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Member</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Registration number</w:t>
            </w:r>
          </w:p>
        </w:tc>
      </w:tr>
      <w:t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LUYOBYA VICENT</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25/U/03863/EVE</w:t>
            </w:r>
          </w:p>
        </w:tc>
      </w:tr>
      <w:t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YIGA AKRAM</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23/U/18680/PS</w:t>
            </w:r>
          </w:p>
        </w:tc>
      </w:tr>
      <w:t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KWAGALA ELVIS</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25/U/0365</w:t>
            </w:r>
          </w:p>
        </w:tc>
      </w:tr>
      <w:t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MUGANWA EDRINE</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25/U/03890/EVE</w:t>
            </w:r>
          </w:p>
        </w:tc>
      </w:tr>
      <w:tr>
        <w:tc>
          <w:tcPr>
            <w:tcW w:type="dxa" w:w="525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MUJUNI NASEEM</w:t>
            </w:r>
          </w:p>
        </w:tc>
        <w:tc>
          <w:tcPr>
            <w:tcW w:type="dxa" w:w="3773"/>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25/U/03899/EVE</w:t>
            </w:r>
          </w:p>
        </w:tc>
      </w:tr>
    </w:tbl>
    <w:p>
      <w:pPr>
        <w:pStyle w:val="Heading1"/>
      </w:pPr>
      <w:r>
        <w:rPr>
          <w:rFonts w:ascii="Times New Roman" w:hAnsi="Times New Roman" w:eastAsia="Times New Roman" w:cs="Times New Roman"/>
          <w:color w:val="000000"/>
        </w:rPr>
        <w:t>1 Proposed primary customer</w:t>
      </w:r>
    </w:p>
    <w:p>
      <w:r>
        <w:rPr>
          <w:rFonts w:ascii="Times New Roman" w:hAnsi="Times New Roman" w:eastAsia="Times New Roman" w:cs="Times New Roman"/>
          <w:b w:val="0"/>
          <w:color w:val="000000"/>
        </w:rPr>
        <w:t>The segment to test is a self-builder or small contractor sourcing limited quantities of materials around Kampala and Wakiso. The customer needs the right quantity, an inspectable condition and an affordable total collection cost. This profile remains a hypothesis until customer research supports or changes it.</w:t>
      </w:r>
    </w:p>
    <w:p>
      <w:r>
        <w:rPr>
          <w:rFonts w:ascii="Times New Roman" w:hAnsi="Times New Roman" w:eastAsia="Times New Roman" w:cs="Times New Roman"/>
          <w:b w:val="0"/>
          <w:color w:val="000000"/>
        </w:rPr>
        <w:t>Pains to investigate include uncertain availability, unsuitable quantities, quality concerns and transport costs. Desired gains are a relevant local offer and clear collection arrangements.</w:t>
      </w:r>
    </w:p>
    <w:p>
      <w:r>
        <w:rPr>
          <w:rFonts w:ascii="Times New Roman" w:hAnsi="Times New Roman" w:eastAsia="Times New Roman" w:cs="Times New Roman"/>
          <w:b w:val="0"/>
          <w:color w:val="000000"/>
        </w:rPr>
        <w:t>Proposed journey: identify a material need, compare nearby offers, check condition and quantity, agree a total cost, then inspect and collect.</w:t>
      </w:r>
    </w:p>
    <w:p>
      <w:pPr>
        <w:pStyle w:val="Heading1"/>
      </w:pPr>
      <w:r>
        <w:rPr>
          <w:rFonts w:ascii="Times New Roman" w:hAnsi="Times New Roman" w:eastAsia="Times New Roman" w:cs="Times New Roman"/>
          <w:color w:val="000000"/>
        </w:rPr>
        <w:t>2 Proposed prototype screens</w:t>
      </w:r>
    </w:p>
    <w:tbl>
      <w:tblPr>
        <w:tblW w:type="auto" w:w="0"/>
        <w:jc w:val="center"/>
        <w:tblLayout w:type="fixed"/>
        <w:tblLook w:firstColumn="1" w:firstRow="1" w:lastColumn="0" w:lastRow="0" w:noHBand="0" w:noVBand="1" w:val="04A0"/>
      </w:tblPr>
      <w:tblGrid>
        <w:gridCol w:w="1728"/>
        <w:gridCol w:w="7301"/>
      </w:tblGrid>
      <w:tr>
        <w:trPr>
          <w:tblHeader/>
        </w:trPr>
        <w:tc>
          <w:tcPr>
            <w:tcW w:type="dxa" w:w="1728"/>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Screen</w:t>
            </w:r>
          </w:p>
        </w:tc>
        <w:tc>
          <w:tcPr>
            <w:tcW w:type="dxa" w:w="7301"/>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Main fields or action</w:t>
            </w:r>
          </w:p>
        </w:tc>
      </w:tr>
      <w:tr>
        <w:tc>
          <w:tcPr>
            <w:tcW w:type="dxa" w:w="1728"/>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Browse</w:t>
            </w:r>
          </w:p>
        </w:tc>
        <w:tc>
          <w:tcPr>
            <w:tcW w:type="dxa" w:w="7301"/>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Material, quantity, broad area and collection option</w:t>
            </w:r>
          </w:p>
        </w:tc>
      </w:tr>
      <w:tr>
        <w:tc>
          <w:tcPr>
            <w:tcW w:type="dxa" w:w="1728"/>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Listing</w:t>
            </w:r>
          </w:p>
        </w:tc>
        <w:tc>
          <w:tcPr>
            <w:tcW w:type="dxa" w:w="7301"/>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Photos, condition, unit, quantity and asking price</w:t>
            </w:r>
          </w:p>
        </w:tc>
      </w:tr>
      <w:tr>
        <w:tc>
          <w:tcPr>
            <w:tcW w:type="dxa" w:w="1728"/>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Contact</w:t>
            </w:r>
          </w:p>
        </w:tc>
        <w:tc>
          <w:tcPr>
            <w:tcW w:type="dxa" w:w="7301"/>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Questions for the seller and inspection arrangement</w:t>
            </w:r>
          </w:p>
        </w:tc>
      </w:tr>
      <w:tr>
        <w:tc>
          <w:tcPr>
            <w:tcW w:type="dxa" w:w="1728"/>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Collection</w:t>
            </w:r>
          </w:p>
        </w:tc>
        <w:tc>
          <w:tcPr>
            <w:tcW w:type="dxa" w:w="7301"/>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Agreed quantity, collection window and completion status</w:t>
            </w:r>
          </w:p>
        </w:tc>
      </w:tr>
    </w:tbl>
    <w:p>
      <w:pPr>
        <w:pStyle w:val="Heading1"/>
        <w:pageBreakBefore/>
      </w:pPr>
      <w:r>
        <w:rPr>
          <w:rFonts w:ascii="Times New Roman" w:hAnsi="Times New Roman" w:eastAsia="Times New Roman" w:cs="Times New Roman"/>
          <w:color w:val="000000"/>
        </w:rPr>
        <w:t>3 Value proposition and feasibility</w:t>
      </w:r>
    </w:p>
    <w:p>
      <w:r>
        <w:rPr>
          <w:rFonts w:ascii="Times New Roman" w:hAnsi="Times New Roman" w:eastAsia="Times New Roman" w:cs="Times New Roman"/>
          <w:b w:val="0"/>
          <w:color w:val="000000"/>
        </w:rPr>
        <w:t>JengaConnect would connect holders of usable surplus building materials with nearby buyers needing smaller quantities. Its proposed difference is material-specific listings with condition and quantity details, followed by inspection and collection. Customer feedback must establish whether this improves on existing alternatives.</w:t>
      </w:r>
    </w:p>
    <w:p>
      <w:r>
        <w:rPr>
          <w:rFonts w:ascii="Times New Roman" w:hAnsi="Times New Roman" w:eastAsia="Times New Roman" w:cs="Times New Roman"/>
          <w:b w:val="0"/>
          <w:color w:val="000000"/>
        </w:rPr>
        <w:t>The first concept uses a mobile web listing workflow. Accurate stock descriptions, seller permission, moderation and reliable collection are practical constraints. Payments and delivery would initially remain arrangements between users. USSD, escrow and payment integrations require separate feasibility work.</w:t>
      </w:r>
    </w:p>
    <w:p>
      <w:pPr>
        <w:pStyle w:val="Heading1"/>
      </w:pPr>
      <w:r>
        <w:rPr>
          <w:rFonts w:ascii="Times New Roman" w:hAnsi="Times New Roman" w:eastAsia="Times New Roman" w:cs="Times New Roman"/>
          <w:color w:val="000000"/>
        </w:rPr>
        <w:t>4 Proposed Business Model Canvas</w:t>
      </w:r>
    </w:p>
    <w:tbl>
      <w:tblPr>
        <w:tblW w:type="auto" w:w="0"/>
        <w:jc w:val="center"/>
        <w:tblLayout w:type="fixed"/>
        <w:tblLook w:firstColumn="1" w:firstRow="1" w:lastColumn="0" w:lastRow="0" w:noHBand="0" w:noVBand="1" w:val="04A0"/>
      </w:tblPr>
      <w:tblGrid>
        <w:gridCol w:w="2304"/>
        <w:gridCol w:w="6725"/>
      </w:tblGrid>
      <w:tr>
        <w:trPr>
          <w:tblHeader/>
        </w:trP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Block</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Working proposal</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Customer segments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Surplus holders and small-quantity buyers in the proposed Kampala and Wakiso study area.</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Value propositions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Relevant local listings with clear material, quantity and condition details.</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Channels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Mobile website and direct outreach to relevant construction contacts.</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Customer relationships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Listing support, clear reports and a simple complaints route.</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Revenue streams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A seller listing fee or transaction charge to test. Payer acceptance and price remain unknown.</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Key resources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Listing platform, authorised material information, support staff and operating funds.</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Key activities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Maintain listings, recruit users, moderate reports and support collection coordination.</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Key partners</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Potential hardware shops, site managers and independent delivery providers.</w:t>
            </w:r>
          </w:p>
        </w:tc>
      </w:tr>
      <w:tr>
        <w:tc>
          <w:tcPr>
            <w:tcW w:type="dxa" w:w="230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Cost structure</w:t>
            </w:r>
          </w:p>
        </w:tc>
        <w:tc>
          <w:tcPr>
            <w:tcW w:type="dxa" w:w="6725"/>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t>Hosting, data, support, moderation, outreach and verification. Amounts require sources.</w:t>
            </w:r>
          </w:p>
        </w:tc>
      </w:tr>
    </w:tbl>
    <w:p>
      <w:pPr>
        <w:pStyle w:val="Heading1"/>
        <w:pageBreakBefore/>
      </w:pPr>
      <w:r>
        <w:rPr>
          <w:rFonts w:ascii="Times New Roman" w:hAnsi="Times New Roman" w:eastAsia="Times New Roman" w:cs="Times New Roman"/>
          <w:color w:val="000000"/>
        </w:rPr>
        <w:t>5 Prototype feedback</w:t>
      </w:r>
    </w:p>
    <w:p>
      <w:r>
        <w:rPr>
          <w:rFonts w:ascii="Times New Roman" w:hAnsi="Times New Roman" w:eastAsia="Times New Roman" w:cs="Times New Roman"/>
          <w:b w:val="0"/>
          <w:color w:val="000000"/>
        </w:rPr>
        <w:t>Completed prototype feedback sessions: 0. The target is at least five relevant potential users or stakeholders, where feasible. Findings and design changes remain pending.</w:t>
      </w:r>
    </w:p>
    <w:p>
      <w:r>
        <w:rPr>
          <w:rFonts w:ascii="Times New Roman" w:hAnsi="Times New Roman" w:eastAsia="Times New Roman" w:cs="Times New Roman"/>
          <w:b w:val="0"/>
          <w:color w:val="000000"/>
        </w:rPr>
        <w:t>Feedback questions: What do you think this screen lets you do? How would you find a suitable quantity? What information is missing? What would prevent you from contacting the seller? How would you check quality and arrange collection?</w:t>
      </w:r>
    </w:p>
    <w:p>
      <w:pPr>
        <w:pStyle w:val="Heading1"/>
      </w:pPr>
      <w:r>
        <w:rPr>
          <w:rFonts w:ascii="Times New Roman" w:hAnsi="Times New Roman" w:eastAsia="Times New Roman" w:cs="Times New Roman"/>
          <w:color w:val="000000"/>
        </w:rPr>
        <w:t>6 Iteration record</w:t>
      </w:r>
    </w:p>
    <w:tbl>
      <w:tblPr>
        <w:tblW w:type="auto" w:w="0"/>
        <w:jc w:val="center"/>
        <w:tblLayout w:type="fixed"/>
        <w:tblLook w:firstColumn="1" w:firstRow="1" w:lastColumn="0" w:lastRow="0" w:noHBand="0" w:noVBand="1" w:val="04A0"/>
      </w:tblPr>
      <w:tblGrid>
        <w:gridCol w:w="1944"/>
        <w:gridCol w:w="3096"/>
        <w:gridCol w:w="3989"/>
      </w:tblGrid>
      <w:tr>
        <w:trPr>
          <w:tblHeader/>
        </w:trPr>
        <w:tc>
          <w:tcPr>
            <w:tcW w:type="dxa" w:w="194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Participant code</w:t>
            </w:r>
          </w:p>
        </w:tc>
        <w:tc>
          <w:tcPr>
            <w:tcW w:type="dxa" w:w="309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Observed difficulty</w:t>
            </w:r>
          </w:p>
        </w:tc>
        <w:tc>
          <w:tcPr>
            <w:tcW w:type="dxa" w:w="3989"/>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color w:val="000000"/>
                <w:sz w:val="24"/>
              </w:rPr>
              <w:t>Change and reason</w:t>
            </w:r>
          </w:p>
        </w:tc>
      </w:tr>
      <w:tr>
        <w:tc>
          <w:tcPr>
            <w:tcW w:type="dxa" w:w="194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09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989"/>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r>
      <w:tr>
        <w:tc>
          <w:tcPr>
            <w:tcW w:type="dxa" w:w="194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09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989"/>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r>
      <w:tr>
        <w:tc>
          <w:tcPr>
            <w:tcW w:type="dxa" w:w="1944"/>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096"/>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c>
          <w:tcPr>
            <w:tcW w:type="dxa" w:w="3989"/>
            <w:vAlign w:val="center"/>
            <w:tcBorders>
              <w:top w:val="single" w:sz="4" w:color="000000"/>
              <w:left w:val="single" w:sz="4" w:color="000000"/>
              <w:bottom w:val="single" w:sz="4" w:color="000000"/>
              <w:right w:val="single" w:sz="4" w:color="000000"/>
              <w:insideH w:val="single" w:sz="4" w:color="000000"/>
              <w:insideV w:val="single" w:sz="4" w:color="000000"/>
            </w:tcBorders>
            <w:tcMar>
              <w:top w:w="55" w:type="dxa"/>
              <w:bottom w:w="55" w:type="dxa"/>
              <w:left w:w="75" w:type="dxa"/>
              <w:right w:w="75" w:type="dxa"/>
            </w:tcMar>
          </w:tcPr>
          <w:p>
            <w:pPr>
              <w:spacing w:after="0" w:line="360" w:lineRule="auto"/>
            </w:pPr>
            <w:r>
              <w:rPr>
                <w:rFonts w:ascii="Times New Roman" w:hAnsi="Times New Roman" w:eastAsia="Times New Roman" w:cs="Times New Roman"/>
                <w:b w:val="0"/>
                <w:color w:val="000000"/>
                <w:sz w:val="24"/>
              </w:rPr>
            </w:r>
          </w:p>
        </w:tc>
      </w:tr>
    </w:tbl>
    <w:p>
      <w:pPr>
        <w:pStyle w:val="Heading1"/>
      </w:pPr>
      <w:r>
        <w:rPr>
          <w:rFonts w:ascii="Times New Roman" w:hAnsi="Times New Roman" w:eastAsia="Times New Roman" w:cs="Times New Roman"/>
          <w:color w:val="000000"/>
        </w:rPr>
        <w:t>7 Assumptions for Week 3</w:t>
      </w:r>
    </w:p>
    <w:p>
      <w:r>
        <w:rPr>
          <w:rFonts w:ascii="Times New Roman" w:hAnsi="Times New Roman" w:eastAsia="Times New Roman" w:cs="Times New Roman"/>
          <w:b w:val="0"/>
          <w:color w:val="000000"/>
        </w:rPr>
        <w:t>1. Enough suitable surplus exists within a practical collection area. Test material availability, condition and seller authority.</w:t>
      </w:r>
    </w:p>
    <w:p>
      <w:r>
        <w:rPr>
          <w:rFonts w:ascii="Times New Roman" w:hAnsi="Times New Roman" w:eastAsia="Times New Roman" w:cs="Times New Roman"/>
          <w:b w:val="0"/>
          <w:color w:val="000000"/>
        </w:rPr>
        <w:t>2. Buyers accept the total cost and effort after inspection and transport. Compare their actual alternatives and recent purchases.</w:t>
      </w:r>
    </w:p>
    <w:p>
      <w:r>
        <w:rPr>
          <w:rFonts w:ascii="Times New Roman" w:hAnsi="Times New Roman" w:eastAsia="Times New Roman" w:cs="Times New Roman"/>
          <w:b w:val="0"/>
          <w:color w:val="000000"/>
        </w:rPr>
        <w:t>3. A clearly identified payer will cover a fee sufficient to support operating costs. Test fee acceptance before choosing a revenue model.</w:t>
      </w:r>
    </w:p>
    <w:p>
      <w:pPr>
        <w:pStyle w:val="Heading1"/>
      </w:pPr>
      <w:r>
        <w:rPr>
          <w:rFonts w:ascii="Times New Roman" w:hAnsi="Times New Roman" w:eastAsia="Times New Roman" w:cs="Times New Roman"/>
          <w:color w:val="000000"/>
        </w:rPr>
        <w:t>Sources</w:t>
      </w:r>
    </w:p>
    <w:p>
      <w:r>
        <w:rPr>
          <w:rFonts w:ascii="Times New Roman" w:hAnsi="Times New Roman" w:eastAsia="Times New Roman" w:cs="Times New Roman"/>
          <w:b w:val="0"/>
          <w:color w:val="000000"/>
        </w:rPr>
        <w:t>Makerere University. IST2106 four-week capstone instructions and weekly rubrics, Module 2. MUELE assignment 200270, accessed 25 October 2026.</w:t>
      </w:r>
    </w:p>
    <w:p>
      <w:r>
        <w:rPr>
          <w:rFonts w:ascii="Times New Roman" w:hAnsi="Times New Roman" w:eastAsia="Times New Roman" w:cs="Times New Roman"/>
          <w:b w:val="0"/>
          <w:color w:val="000000"/>
        </w:rPr>
        <w:t>Evening A Group 6. Turning Construction Waste into Value. Unpublished course presentation, undated.</w:t>
      </w:r>
    </w:p>
    <w:sectPr w:rsidR="00FC693F" w:rsidRPr="0006063C" w:rsidSect="00034616">
      <w:footerReference w:type="default" r:id="rId9"/>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80" w:line="360" w:lineRule="auto" w:before="0"/>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360" w:lineRule="auto" w:before="0"/>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80" w:line="360" w:lineRule="auto"/>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80" w:line="360" w:lineRule="auto"/>
      <w:outlineLvl w:val="3"/>
    </w:pPr>
    <w:rPr>
      <w:rFonts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80" w:line="360" w:lineRule="auto"/>
      <w:outlineLvl w:val="4"/>
    </w:pPr>
    <w:rPr>
      <w:rFonts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80" w:line="360" w:lineRule="auto"/>
      <w:outlineLvl w:val="5"/>
    </w:pPr>
    <w:rPr>
      <w:rFonts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80" w:line="360" w:lineRule="auto"/>
      <w:outlineLvl w:val="6"/>
    </w:pPr>
    <w:rPr>
      <w:rFonts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80" w:line="360" w:lineRule="auto"/>
      <w:outlineLvl w:val="7"/>
    </w:pPr>
    <w:rPr>
      <w:rFonts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80" w:line="360" w:lineRule="auto"/>
      <w:outlineLvl w:val="8"/>
    </w:pPr>
    <w:rPr>
      <w:rFonts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360" w:lineRule="auto" w:before="0"/>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before="0"/>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80" w:before="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80" w:before="0"/>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80" w:line="360" w:lineRule="auto" w:before="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360" w:lineRule="auto" w:before="0"/>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360" w:lineRule="auto" w:before="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after="80" w:before="0"/>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360" w:lineRule="auto" w:after="80" w:before="0"/>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360" w:lineRule="auto" w:after="80" w:before="0"/>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360" w:lineRule="auto" w:after="80" w:before="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360" w:lineRule="auto" w:after="80" w:before="0"/>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360" w:lineRule="auto" w:after="80" w:before="0"/>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360" w:lineRule="auto" w:after="80" w:before="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360" w:lineRule="auto" w:after="80" w:before="0"/>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360" w:lineRule="auto" w:after="80" w:before="0"/>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80" w:line="360" w:lineRule="auto" w:before="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80" w:line="360" w:lineRule="auto" w:before="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80" w:line="360" w:lineRule="auto" w:before="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after="80" w:before="0"/>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after="80" w:before="0"/>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80" w:before="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80" w:line="360" w:lineRule="auto"/>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after="80" w:before="0"/>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JengaConnect solution validation and business model preparation</dc:title>
  <dc:subject/>
  <dc:creator>Evening A Group 6</dc:creator>
  <cp:keywords/>
  <dc:description>generated by python-docx</dc:description>
  <cp:lastModifiedBy/>
  <cp:revision>1</cp:revision>
  <dcterms:created xsi:type="dcterms:W3CDTF">2013-12-23T23:15:00Z</dcterms:created>
  <dcterms:modified xsi:type="dcterms:W3CDTF">2013-12-23T23:15:00Z</dcterms:modified>
  <cp:category/>
</cp:coreProperties>
</file>