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12345A"/>
          <w:sz w:val="50"/>
        </w:rPr>
        <w:t>POUR UN PROGRAMME HYDROGÈNE</w:t>
        <w:br/>
        <w:t>COMPÉTITIF ET OUVERT AUX TECHNOLOGIES</w:t>
      </w:r>
    </w:p>
    <w:p>
      <w:pPr>
        <w:jc w:val="center"/>
      </w:pPr>
      <w:r>
        <w:rPr>
          <w:color w:val="176B62"/>
          <w:sz w:val="26"/>
        </w:rPr>
        <w:t>Proposition de réforme législative et réglementaire</w:t>
        <w:br/>
        <w:t>Code de l’énergie : L.811-1, L.812-1, L.812-2, R.812-2, R.812-14, R.812-18, R.812-19 et R.812-26</w:t>
      </w:r>
    </w:p>
    <w:p>
      <w:pPr>
        <w:spacing w:before="700"/>
        <w:jc w:val="center"/>
      </w:pPr>
      <w:r>
        <w:t>Document de travail destiné aux parlementaires, collaborateurs et administrations</w:t>
      </w:r>
    </w:p>
    <w:p>
      <w:pPr>
        <w:spacing w:before="700"/>
        <w:jc w:val="center"/>
      </w:pPr>
      <w:r>
        <w:rPr>
          <w:b/>
        </w:rPr>
        <w:t>Version de travail — 11 octobre 2026</w:t>
      </w:r>
    </w:p>
    <w:p>
      <w:pPr>
        <w:spacing w:before="240"/>
        <w:jc w:val="center"/>
      </w:pPr>
      <w:r>
        <w:rPr>
          <w:b/>
          <w:color w:val="176B62"/>
          <w:sz w:val="24"/>
        </w:rPr>
        <w:t>Auteur et initiateur de la proposition : Éric Jacob</w:t>
      </w:r>
    </w:p>
    <w:p>
      <w:pPr>
        <w:spacing w:after="160"/>
        <w:jc w:val="center"/>
      </w:pPr>
      <w:r>
        <w:rPr>
          <w:i/>
          <w:sz w:val="18"/>
        </w:rPr>
        <w:t>Travail indépendant de synthèse, d’analyse réglementaire et de proposition citoyenne.</w:t>
      </w:r>
    </w:p>
    <w:p>
      <w:pPr>
        <w:jc w:val="center"/>
      </w:pPr>
      <w:r>
        <w:t>Les rédactions proposées ne sont pas le droit en vigueur et doivent être expertisées avant dépôt ou adoption.</w:t>
      </w:r>
    </w:p>
    <w:p>
      <w:r>
        <w:br w:type="page"/>
      </w:r>
    </w:p>
    <w:p>
      <w:pPr>
        <w:pStyle w:val="Heading1"/>
      </w:pPr>
      <w:r>
        <w:t>Résumé exécutif</w:t>
      </w:r>
    </w:p>
    <w:p>
      <w:r>
        <w:t>L’article L.811-1 du Code de l’énergie définit l’hydrogène renouvelable en envisageant l’électrolyse alimentée par de l’électricité renouvelable, mais aussi « toute autre technologie » utilisant exclusivement une ou plusieurs sources renouvelables et n’entrant pas en conflit avec d’autres usages permettant leur valorisation directe. Le texte prévoit également un seuil d’émissions et renvoie à un arrêté pour les conditions d’application.</w:t>
      </w:r>
    </w:p>
    <w:p>
      <w:r>
        <w:t>À l’inverse, L.812-1 et L.812-2 réservent le dispositif de soutien public de ce chapitre à l’hydrogène renouvelable ou bas-carbone « produit par électrolyse de l’eau ». Il existe donc une différence de périmètre entre la définition générale et l’accès à ce mécanisme particulier. Cette différence relève d’un choix législatif à réexaminer ; elle ne signifie pas que toute technologie biomasse serait automatiquement éligible.</w:t>
      </w:r>
    </w:p>
    <w:tbl>
      <w:tblPr>
        <w:tblStyle w:val="TableGrid"/>
        <w:tblW w:type="auto" w:w="0"/>
        <w:tblLook w:firstColumn="1" w:firstRow="1" w:lastColumn="0" w:lastRow="0" w:noHBand="0" w:noVBand="1" w:val="04A0"/>
      </w:tblPr>
      <w:tblGrid>
        <w:gridCol w:w="10080"/>
      </w:tblGrid>
      <w:tr>
        <w:tc>
          <w:tcPr>
            <w:tcW w:type="dxa" w:w="10080"/>
            <w:shd w:fill="E2F0D9"/>
          </w:tcPr>
          <w:p>
            <w:r/>
            <w:r>
              <w:rPr>
                <w:b/>
                <w:color w:val="12345A"/>
              </w:rPr>
              <w:t>Décision proposée</w:t>
              <w:br/>
            </w:r>
            <w:r>
              <w:t>Modifier L.812-1 et L.812-2 pour permettre l’accès au dispositif aux technologies satisfaisant aux définitions légales, puis adapter les règles de mise en concurrence pour comparer les projets selon des critères objectifs, transparents, proportionnés et homogènes. L’ouverture ne crée aucun droit automatique à une aide.</w:t>
            </w:r>
          </w:p>
        </w:tc>
      </w:tr>
    </w:tbl>
    <w:p/>
    <w:p>
      <w:pPr>
        <w:pStyle w:val="Heading2"/>
      </w:pPr>
      <w:r>
        <w:t>Principes de réforme</w:t>
      </w:r>
    </w:p>
    <w:p>
      <w:pPr>
        <w:pStyle w:val="ListBullet"/>
      </w:pPr>
      <w:r>
        <w:t>Neutralité technologique : ne pas écarter un procédé du seul fait de sa famille technologique lorsque les exigences légales peuvent être satisfaites.</w:t>
      </w:r>
    </w:p>
    <w:p>
      <w:pPr>
        <w:pStyle w:val="ListBullet"/>
      </w:pPr>
      <w:r>
        <w:t>Comparaison à périmètre identique : coût complet, émissions de cycle de vie, efficacité énergétique, durabilité et disponibilité des intrants, maturité industrielle et risques d’exécution.</w:t>
      </w:r>
    </w:p>
    <w:p>
      <w:pPr>
        <w:pStyle w:val="ListBullet"/>
      </w:pPr>
      <w:r>
        <w:t>Aides proportionnées : sélectionner les projets offrant la meilleure contribution aux objectifs publics au regard de leurs performances et du soutien demandé, sous réserve du droit européen.</w:t>
      </w:r>
    </w:p>
    <w:p>
      <w:pPr>
        <w:pStyle w:val="ListBullet"/>
      </w:pPr>
      <w:r>
        <w:t>Données exploitables : harmoniser les données économiques et environnementales, publier des résultats agrégés et protéger les secrets d’affaires.</w:t>
      </w:r>
    </w:p>
    <w:p>
      <w:pPr>
        <w:pStyle w:val="Heading1"/>
      </w:pPr>
      <w:r>
        <w:t>1. Objet, portée et limites</w:t>
      </w:r>
    </w:p>
    <w:p>
      <w:r>
        <w:t>Ce document est une proposition de travail destinée à faciliter l’examen parlementaire et administratif. Il ne constitue ni un avis juridique ni une étude technico-économique indépendante. Les textes officiels cités ont été consultés sur Légifrance dans les versions accessibles au 11 octobre 2026. Toute rédaction doit être revue par les services juridiques et confrontée aux règles européennes, aux aides d’État, aux arrêtés applicables et aux cahiers des charges publiés.</w:t>
      </w:r>
    </w:p>
    <w:p>
      <w:r>
        <w:t>Le périmètre principal est le mécanisme de soutien du chapitre II du titre Ier du livre VIII du Code de l’énergie, organisé par L.812-1 à L.812-10 et R.812-1 à R.812-26. Il ne faut pas en déduire que toutes les autres aides publiques à l’hydrogène sont réservées à l’électrolyse : chaque dispositif doit être examiné séparément.</w:t>
      </w:r>
    </w:p>
    <w:p>
      <w:pPr>
        <w:pStyle w:val="Heading1"/>
      </w:pPr>
      <w:r>
        <w:t>2. Diagnostic législatif</w:t>
      </w:r>
    </w:p>
    <w:p>
      <w:pPr>
        <w:pStyle w:val="Heading2"/>
      </w:pPr>
      <w:r>
        <w:t>2.1. Article L.811-1 — définition</w:t>
      </w:r>
    </w:p>
    <w:p>
      <w:r>
        <w:t>L.811-1 prévoit que l’hydrogène renouvelable peut être produit par électrolyse utilisant de l’électricité renouvelable ou par toute autre technologie utilisant exclusivement une ou plusieurs sources d’énergie renouvelable et n’entrant pas en conflit avec d’autres usages permettant leur valorisation directe. Le procédé doit respecter un seuil d’émissions par kilogramme d’hydrogène ; les conditions et seuils sont précisés par arrêté.</w:t>
      </w:r>
    </w:p>
    <w:tbl>
      <w:tblPr>
        <w:tblStyle w:val="TableGrid"/>
        <w:tblW w:type="auto" w:w="0"/>
        <w:tblLook w:firstColumn="1" w:firstRow="1" w:lastColumn="0" w:lastRow="0" w:noHBand="0" w:noVBand="1" w:val="04A0"/>
      </w:tblPr>
      <w:tblGrid>
        <w:gridCol w:w="10080"/>
      </w:tblGrid>
      <w:tr>
        <w:tc>
          <w:tcPr>
            <w:tcW w:type="dxa" w:w="10080"/>
            <w:shd w:fill="FFF2CC"/>
          </w:tcPr>
          <w:p>
            <w:r/>
            <w:r>
              <w:rPr>
                <w:b/>
                <w:color w:val="12345A"/>
              </w:rPr>
              <w:t>Conséquence</w:t>
              <w:br/>
            </w:r>
            <w:r>
              <w:t>Une voie thermochimique utilisant de la biomasse n’est pas renouvelable du seul fait de son intrant. Il faut démontrer la conformité de la ressource, de la chaîne d’approvisionnement, du procédé et du bilan d’émissions aux conditions légales et européennes.</w:t>
            </w:r>
          </w:p>
        </w:tc>
      </w:tr>
    </w:tbl>
    <w:p/>
    <w:p>
      <w:r>
        <w:rPr>
          <w:b/>
        </w:rPr>
        <w:t xml:space="preserve">Texte officiel L.811-1: </w:t>
      </w:r>
      <w:r>
        <w:t>https://www.legifrance.gouv.fr/codes/article_lc/LEGIARTI000049463903/2026-02-22</w:t>
      </w:r>
    </w:p>
    <w:p>
      <w:pPr>
        <w:pStyle w:val="Heading2"/>
      </w:pPr>
      <w:r>
        <w:t>2.2. Article L.812-1 — restriction centrale</w:t>
      </w:r>
    </w:p>
    <w:p>
      <w:r>
        <w:t>Texte en vigueur : « Le dispositif de soutien public prévu au présent chapitre est exclusivement réservé à la production d’hydrogène renouvelable ou d’hydrogène bas-carbone par électrolyse de l’eau, répondant aux définitions données à l’article L. 811-1. » Le terme « exclusivement » et la mention de l’électrolyse constituent la restriction législative centrale.</w:t>
      </w:r>
    </w:p>
    <w:p>
      <w:r>
        <w:rPr>
          <w:b/>
        </w:rPr>
        <w:t xml:space="preserve">Texte officiel L.812-1: </w:t>
      </w:r>
      <w:r>
        <w:t>https://www.legifrance.gouv.fr/codes/article_lc/LEGIARTI000043154077/2026-07-13</w:t>
      </w:r>
    </w:p>
    <w:p>
      <w:pPr>
        <w:pStyle w:val="Heading2"/>
      </w:pPr>
      <w:r>
        <w:t>2.3. Article L.812-2 — cohérence du dispositif</w:t>
      </w:r>
    </w:p>
    <w:p>
      <w:r>
        <w:t>L.812-2 permet à l’administration de favoriser les capacités nationales d’hydrogène renouvelable ou bas-carbone « produit par électrolyse de l’eau » et prévoit une aide au fonctionnement ou une combinaison d’aide à l’investissement et d’aide au fonctionnement. La modification de L.812-1 doit être accompagnée d’une modification de L.812-2.</w:t>
      </w:r>
    </w:p>
    <w:p>
      <w:r>
        <w:rPr>
          <w:b/>
        </w:rPr>
        <w:t xml:space="preserve">Texte officiel L.812-2: </w:t>
      </w:r>
      <w:r>
        <w:t>https://www.legifrance.gouv.fr/codes/article_lc/LEGIARTI000043154079/2026-10-09</w:t>
      </w:r>
    </w:p>
    <w:p>
      <w:pPr>
        <w:pStyle w:val="Heading1"/>
      </w:pPr>
      <w:r>
        <w:t>3. Projet de rédaction législative</w:t>
      </w:r>
    </w:p>
    <w:p>
      <w:r>
        <w:t>Les textes ci-dessous sont des propositions non opposables. Ils visent à élargir le périmètre des technologies admissibles tout en conservant les exigences de qualification, de durabilité, d’émissions et de contrôle.</w:t>
      </w:r>
    </w:p>
    <w:p>
      <w:pPr>
        <w:pStyle w:val="Heading2"/>
      </w:pPr>
      <w:r>
        <w:t>3.1. Article L.812-1 — proposition</w:t>
      </w:r>
    </w:p>
    <w:tbl>
      <w:tblPr>
        <w:tblStyle w:val="TableGrid"/>
        <w:tblW w:type="auto" w:w="0"/>
        <w:tblLook w:firstColumn="1" w:firstRow="1" w:lastColumn="0" w:lastRow="0" w:noHBand="0" w:noVBand="1" w:val="04A0"/>
      </w:tblPr>
      <w:tblGrid>
        <w:gridCol w:w="10080"/>
      </w:tblGrid>
      <w:tr>
        <w:tc>
          <w:tcPr>
            <w:tcW w:type="dxa" w:w="10080"/>
            <w:shd w:fill="E2F0D9"/>
          </w:tcPr>
          <w:p>
            <w:r/>
            <w:r>
              <w:rPr>
                <w:b/>
                <w:color w:val="12345A"/>
              </w:rPr>
              <w:t>Rédaction proposée</w:t>
              <w:br/>
            </w:r>
            <w:r>
              <w:t>« Le dispositif de soutien public prévu au présent chapitre est réservé à la production d’hydrogène renouvelable ou d’hydrogène bas-carbone répondant aux définitions données à l’article L. 811-1, quelle que soit la technologie de production employée, sous réserve du respect des conditions prévues par le présent code et par les textes pris pour son application. »</w:t>
            </w:r>
          </w:p>
        </w:tc>
      </w:tr>
    </w:tbl>
    <w:p/>
    <w:p>
      <w:pPr>
        <w:pStyle w:val="Heading2"/>
      </w:pPr>
      <w:r>
        <w:t>3.2. Article L.812-2 — proposition</w:t>
      </w:r>
    </w:p>
    <w:tbl>
      <w:tblPr>
        <w:tblStyle w:val="TableGrid"/>
        <w:tblW w:type="auto" w:w="0"/>
        <w:tblLook w:firstColumn="1" w:firstRow="1" w:lastColumn="0" w:lastRow="0" w:noHBand="0" w:noVBand="1" w:val="04A0"/>
      </w:tblPr>
      <w:tblGrid>
        <w:gridCol w:w="10080"/>
      </w:tblGrid>
      <w:tr>
        <w:tc>
          <w:tcPr>
            <w:tcW w:type="dxa" w:w="10080"/>
            <w:shd w:fill="E2F0D9"/>
          </w:tcPr>
          <w:p>
            <w:r/>
            <w:r>
              <w:rPr>
                <w:b/>
                <w:color w:val="12345A"/>
              </w:rPr>
              <w:t>Rédaction proposée</w:t>
              <w:br/>
            </w:r>
            <w:r>
              <w:t>« Pour atteindre les objectifs énoncés au 10° du I de l’article L. 100-4, l’autorité administrative peut favoriser le développement, sur le territoire national, des capacités de production d’hydrogène renouvelable ou d’hydrogène bas-carbone répondant aux définitions données à l’article L. 811-1, quelle que soit la technologie de production employée, en ouvrant aux installations correspondantes le bénéfice d’un dispositif de soutien. »</w:t>
              <w:br/>
              <w:br/>
              <w:t>Les dispositions relatives aux personnes éligibles et aux formes d’aide seraient conservées, sous réserve des coordinations nécessaires.</w:t>
            </w:r>
          </w:p>
        </w:tc>
      </w:tr>
    </w:tbl>
    <w:p/>
    <w:p>
      <w:r>
        <w:t>Il faudra vérifier que les seuils et méthodes fixés par arrêté pour l’application de L.811-1 permettent d’évaluer les différentes voies de production. La réforme ne doit pas présumer que toutes les voies respectent déjà les seuils.</w:t>
      </w:r>
    </w:p>
    <w:p>
      <w:pPr>
        <w:pStyle w:val="Heading1"/>
      </w:pPr>
      <w:r>
        <w:t>4. Audit réglementaire : R.812-2, R.812-14, R.812-18 et R.812-19</w:t>
      </w:r>
    </w:p>
    <w:p>
      <w:r>
        <w:t>Le décret n° 2023-854 du 1er septembre 2023 organise la procédure de mise en concurrence. Les articles ci-dessous n’interdisent pas tous, à eux seuls, les voies non électrolytiques. Ils encadrent la consultation, l’évaluation et le classement. Il faut auditer les cahiers des charges concrets pour identifier les obstacles réellement présents.</w:t>
      </w:r>
    </w:p>
    <w:p>
      <w:r>
        <w:rPr>
          <w:b/>
        </w:rPr>
        <w:t xml:space="preserve">Décret n° 2023-854: </w:t>
      </w:r>
      <w:r>
        <w:t>https://www.legifrance.gouv.fr/jorf/id/JORFTEXT000048039013</w:t>
      </w:r>
    </w:p>
    <w:p>
      <w:r>
        <w:rPr>
          <w:b/>
        </w:rPr>
        <w:t xml:space="preserve">Texte réglementaire consolidé R.812-1 à R.812-26: </w:t>
      </w:r>
      <w:r>
        <w:t>https://www.legifrance.gouv.fr/codes/id/LEGISCTA000048040122</w:t>
      </w:r>
    </w:p>
    <w:p>
      <w:pPr>
        <w:pStyle w:val="Heading2"/>
      </w:pPr>
      <w:r>
        <w:t>4.1. Article R.812-2 — document de consultation</w:t>
      </w:r>
    </w:p>
    <w:p>
      <w:r>
        <w:t>R.812-2 prévoit que le document de consultation précise notamment l’objet et le calendrier de la procédure, les capacités techniques et financières requises, leurs modalités d’évaluation et les critères de sélection des offres par ordre décroissant d’importance.</w:t>
      </w:r>
    </w:p>
    <w:p>
      <w:r>
        <w:t>Constat : l’article organise les exigences et critères, mais n’énonce pas expressément une obligation générale de contrôler leur neutralité entre technologies légalement admissibles. Le risque dépend du contenu concret de la consultation.</w:t>
      </w:r>
    </w:p>
    <w:tbl>
      <w:tblPr>
        <w:tblStyle w:val="TableGrid"/>
        <w:tblW w:type="auto" w:w="0"/>
        <w:tblLook w:firstColumn="1" w:firstRow="1" w:lastColumn="0" w:lastRow="0" w:noHBand="0" w:noVBand="1" w:val="04A0"/>
      </w:tblPr>
      <w:tblGrid>
        <w:gridCol w:w="10080"/>
      </w:tblGrid>
      <w:tr>
        <w:tc>
          <w:tcPr>
            <w:tcW w:type="dxa" w:w="10080"/>
            <w:shd w:fill="E2F0D9"/>
          </w:tcPr>
          <w:p>
            <w:r/>
            <w:r>
              <w:rPr>
                <w:b/>
                <w:color w:val="12345A"/>
              </w:rPr>
              <w:t>Ajout proposé à expertiser</w:t>
              <w:br/>
            </w:r>
            <w:r>
              <w:t>« Les exigences et critères de sélection sont objectifs, transparents, proportionnés à l’objet de la procédure et non discriminatoires à l’égard des technologies légalement admissibles. Lorsqu’un critère est susceptible d’avoir des effets différents selon la technologie, le document de consultation en précise la justification au regard de l’objet de la procédure et des objectifs poursuivis. »</w:t>
            </w:r>
          </w:p>
        </w:tc>
      </w:tr>
    </w:tbl>
    <w:p/>
    <w:p>
      <w:pPr>
        <w:pStyle w:val="Heading2"/>
      </w:pPr>
      <w:r>
        <w:t>4.2. Article R.812-14 — cahier des charges et notation</w:t>
      </w:r>
    </w:p>
    <w:p>
      <w:r>
        <w:t>R.812-14 exige un cahier des charges décrivant les installations, les conditions applicables, la liste exhaustive des critères de notation, leur pondération ou hiérarchisation et les pièces justificatives nécessaires. Les critères quantitatifs doivent représenter au moins 70 % de la pondération totale.</w:t>
      </w:r>
    </w:p>
    <w:p>
      <w:r>
        <w:t>Constat : la règle sur les critères quantitatifs ne garantit pas, à elle seule, que les coûts, émissions, rendements, ressources et hypothèses soient calculés sur des périmètres identiques. Le problème à traiter est la comparabilité méthodologique, et non l’existence des critères.</w:t>
      </w:r>
    </w:p>
    <w:tbl>
      <w:tblPr>
        <w:tblStyle w:val="TableGrid"/>
        <w:tblW w:type="auto" w:w="0"/>
        <w:tblLook w:firstColumn="1" w:firstRow="1" w:lastColumn="0" w:lastRow="0" w:noHBand="0" w:noVBand="1" w:val="04A0"/>
      </w:tblPr>
      <w:tblGrid>
        <w:gridCol w:w="10080"/>
      </w:tblGrid>
      <w:tr>
        <w:tc>
          <w:tcPr>
            <w:tcW w:type="dxa" w:w="10080"/>
            <w:shd w:fill="E2F0D9"/>
          </w:tcPr>
          <w:p>
            <w:r/>
            <w:r>
              <w:rPr>
                <w:b/>
                <w:color w:val="12345A"/>
              </w:rPr>
              <w:t>Ajout proposé à expertiser</w:t>
              <w:br/>
            </w:r>
            <w:r>
              <w:t>« Lorsque plusieurs technologies sont légalement admissibles, les critères de notation sont définis de manière objective, transparente, proportionnée et non discriminatoire. Ils permettent, selon l’objet de la procédure, une comparaison des performances sur des périmètres et hypothèses cohérents, notamment pour le coût complet de production, les émissions de gaz à effet de serre sur l’ensemble du cycle de vie, l’efficacité énergétique, la durabilité et la disponibilité des intrants, ainsi que la maturité et la capacité industrielles. Le cahier des charges précise les méthodes de calcul, les hypothèses et les pièces justificatives attendues. »</w:t>
            </w:r>
          </w:p>
        </w:tc>
      </w:tr>
    </w:tbl>
    <w:p/>
    <w:p>
      <w:pPr>
        <w:pStyle w:val="Heading2"/>
      </w:pPr>
      <w:r>
        <w:t>4.3. Article R.812-18 — instruction par un tiers</w:t>
      </w:r>
    </w:p>
    <w:p>
      <w:r>
        <w:t>R.812-18 prévoit que, lorsque certains critères sont instruits par un tiers, l’agence lui communique les pièces nécessaires et prend en compte le résultat de cette instruction pour établir le classement. Le délai est fixé par le cahier des charges.</w:t>
      </w:r>
    </w:p>
    <w:p>
      <w:r>
        <w:t>Constat : l’article permet l’instruction par un tiers, mais ne prescrit pas à lui seul une méthode harmonisée lorsque les critères exigent de comparer des voies de production différentes.</w:t>
      </w:r>
    </w:p>
    <w:tbl>
      <w:tblPr>
        <w:tblStyle w:val="TableGrid"/>
        <w:tblW w:type="auto" w:w="0"/>
        <w:tblLook w:firstColumn="1" w:firstRow="1" w:lastColumn="0" w:lastRow="0" w:noHBand="0" w:noVBand="1" w:val="04A0"/>
      </w:tblPr>
      <w:tblGrid>
        <w:gridCol w:w="10080"/>
      </w:tblGrid>
      <w:tr>
        <w:tc>
          <w:tcPr>
            <w:tcW w:type="dxa" w:w="10080"/>
            <w:shd w:fill="E2F0D9"/>
          </w:tcPr>
          <w:p>
            <w:r/>
            <w:r>
              <w:rPr>
                <w:b/>
                <w:color w:val="12345A"/>
              </w:rPr>
              <w:t>Ajout proposé à expertiser</w:t>
              <w:br/>
            </w:r>
            <w:r>
              <w:t>« Lorsque l’instruction porte sur un critère destiné à comparer plusieurs technologies, le cahier des charges précise la méthode d’évaluation, le périmètre du calcul, les hypothèses et les règles de traitement des incertitudes. Le tiers applique ces règles de manière cohérente à l’ensemble des offres comparables et signale les limites méthodologiques susceptibles d’affecter la comparaison. »</w:t>
            </w:r>
          </w:p>
        </w:tc>
      </w:tr>
    </w:tbl>
    <w:p/>
    <w:p>
      <w:pPr>
        <w:pStyle w:val="Heading2"/>
      </w:pPr>
      <w:r>
        <w:t>4.4. Article R.812-19 — examen et classement</w:t>
      </w:r>
    </w:p>
    <w:p>
      <w:r>
        <w:t>R.812-19 prévoit que l’agence examine les offres et transmet au ministre les offres conformes et non conformes, le classement avec le détail des notes, la liste des offres proposées, un rapport de synthèse et, à la demande du ministre, les offres déposées.</w:t>
      </w:r>
    </w:p>
    <w:p>
      <w:r>
        <w:t>Constat : le détail des notes et le rapport de synthèse existent déjà. La proposition vise à expliciter les méthodes, hypothèses et motifs d’écarts de traitement entre offres comparables, sans divulguer les secrets protégés.</w:t>
      </w:r>
    </w:p>
    <w:tbl>
      <w:tblPr>
        <w:tblStyle w:val="TableGrid"/>
        <w:tblW w:type="auto" w:w="0"/>
        <w:tblLook w:firstColumn="1" w:firstRow="1" w:lastColumn="0" w:lastRow="0" w:noHBand="0" w:noVBand="1" w:val="04A0"/>
      </w:tblPr>
      <w:tblGrid>
        <w:gridCol w:w="10080"/>
      </w:tblGrid>
      <w:tr>
        <w:tc>
          <w:tcPr>
            <w:tcW w:type="dxa" w:w="10080"/>
            <w:shd w:fill="E2F0D9"/>
          </w:tcPr>
          <w:p>
            <w:r/>
            <w:r>
              <w:rPr>
                <w:b/>
                <w:color w:val="12345A"/>
              </w:rPr>
              <w:t>Ajout proposé à expertiser</w:t>
              <w:br/>
            </w:r>
            <w:r>
              <w:t>« Le rapport de synthèse présente, pour les critères comparables, les principales méthodes et hypothèses retenues ainsi que les motifs des différences méthodologiques éventuellement appliquées. Il identifie les limites affectant la comparabilité des résultats, dans le respect du secret des affaires et des autres secrets protégés par la loi. »</w:t>
            </w:r>
          </w:p>
        </w:tc>
      </w:tr>
    </w:tbl>
    <w:p/>
    <w:p>
      <w:pPr>
        <w:pStyle w:val="Heading1"/>
      </w:pPr>
      <w:r>
        <w:t>5. Article R.812-26 — mesurer les coûts réels</w:t>
      </w:r>
    </w:p>
    <w:p>
      <w:r>
        <w:t>R.812-26 prévoit déjà que le producteur titulaire d’un contrat d’aide tient certains documents à disposition et transmet au ministre et à l’agence le détail des coûts et recettes de l’installation, avec pièces justificatives, selon une périodicité, des conditions et un format fixés par arrêté.</w:t>
      </w:r>
    </w:p>
    <w:p>
      <w:r>
        <w:t>Limite importante : les données concernent les installations ayant conclu le contrat visé à L.812-4. Elles ne permettent pas, à elles seules, de comparer les technologies qui ne peuvent pas accéder au mécanisme. Il faut d’abord ouvrir légalement le dispositif et adapter la sélection.</w:t>
      </w:r>
    </w:p>
    <w:tbl>
      <w:tblPr>
        <w:tblStyle w:val="TableGrid"/>
        <w:tblW w:type="auto" w:w="0"/>
        <w:tblLook w:firstColumn="1" w:firstRow="1" w:lastColumn="0" w:lastRow="0" w:noHBand="0" w:noVBand="1" w:val="04A0"/>
      </w:tblPr>
      <w:tblGrid>
        <w:gridCol w:w="10080"/>
      </w:tblGrid>
      <w:tr>
        <w:tc>
          <w:tcPr>
            <w:tcW w:type="dxa" w:w="10080"/>
            <w:shd w:fill="E2F0D9"/>
          </w:tcPr>
          <w:p>
            <w:r/>
            <w:r>
              <w:rPr>
                <w:b/>
                <w:color w:val="12345A"/>
              </w:rPr>
              <w:t>Ajout proposé à expertiser</w:t>
              <w:br/>
            </w:r>
            <w:r>
              <w:t>« Les modalités fixées par arrêté prévoient, dans le respect du secret des affaires, un format harmonisé de transmission des données économiques et techniques permettant d’établir des indicateurs agrégés comparables entre les installations soutenues. Ces indicateurs peuvent notamment porter sur les coûts d’investissement et d’exploitation, le coût complet de production, les volumes produits, le taux de disponibilité, les consommations d’énergie et d’intrants, les émissions de gaz à effet de serre sur le cycle de vie, la nature et la durabilité des intrants ainsi que les recettes et soutiens publics perçus. Les résultats font l’objet d’une analyse de retour d’expérience par l’administration, sous une forme ne révélant pas les informations protégées. »</w:t>
            </w:r>
          </w:p>
        </w:tc>
      </w:tr>
    </w:tbl>
    <w:p/>
    <w:p>
      <w:r>
        <w:t>Les définitions comptables, l’allocation des coproduits, le traitement des aides, la méthode carbone et les règles de confidentialité doivent être détaillés dans l’arrêté. Les résultats observés pour des installations aidées ne doivent pas être présentés comme des données réelles pour des technologies qui ne le sont pas.</w:t>
      </w:r>
    </w:p>
    <w:p>
      <w:pPr>
        <w:pStyle w:val="Heading1"/>
      </w:pPr>
      <w:r>
        <w:t>6. Grille commune de comparaison des projets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2345A"/>
          </w:tcPr>
          <w:p>
            <w:r>
              <w:rPr>
                <w:b/>
                <w:color w:val="FFFFFF"/>
                <w:sz w:val="16"/>
              </w:rPr>
              <w:t>Dimension</w:t>
            </w:r>
          </w:p>
        </w:tc>
        <w:tc>
          <w:tcPr>
            <w:tcW w:type="dxa" w:w="3360"/>
            <w:shd w:fill="12345A"/>
          </w:tcPr>
          <w:p>
            <w:r>
              <w:rPr>
                <w:b/>
                <w:color w:val="FFFFFF"/>
                <w:sz w:val="16"/>
              </w:rPr>
              <w:t>Indicateurs à demander</w:t>
            </w:r>
          </w:p>
        </w:tc>
        <w:tc>
          <w:tcPr>
            <w:tcW w:type="dxa" w:w="3360"/>
            <w:shd w:fill="12345A"/>
          </w:tcPr>
          <w:p>
            <w:r>
              <w:rPr>
                <w:b/>
                <w:color w:val="FFFFFF"/>
                <w:sz w:val="16"/>
              </w:rPr>
              <w:t>Précautions méthodologiques</w:t>
            </w:r>
          </w:p>
        </w:tc>
      </w:tr>
      <w:tr>
        <w:tc>
          <w:tcPr>
            <w:tcW w:type="dxa" w:w="3360"/>
            <w:vAlign w:val="center"/>
            <w:shd w:fill="F1F5F9"/>
          </w:tcPr>
          <w:p>
            <w:pPr>
              <w:spacing w:after="40"/>
            </w:pPr>
            <w:r>
              <w:rPr>
                <w:sz w:val="16"/>
              </w:rPr>
              <w:t>Coût complet</w:t>
            </w:r>
          </w:p>
        </w:tc>
        <w:tc>
          <w:tcPr>
            <w:tcW w:type="dxa" w:w="3360"/>
            <w:vAlign w:val="center"/>
            <w:shd w:fill="F1F5F9"/>
          </w:tcPr>
          <w:p>
            <w:pPr>
              <w:spacing w:after="40"/>
            </w:pPr>
            <w:r>
              <w:rPr>
                <w:sz w:val="16"/>
              </w:rPr>
              <w:t>CAPEX annualisé, OPEX, coût complet €/kg H₂, coût de livraison si pertinent</w:t>
            </w:r>
          </w:p>
        </w:tc>
        <w:tc>
          <w:tcPr>
            <w:tcW w:type="dxa" w:w="3360"/>
            <w:vAlign w:val="center"/>
            <w:shd w:fill="F1F5F9"/>
          </w:tcPr>
          <w:p>
            <w:pPr>
              <w:spacing w:after="40"/>
            </w:pPr>
            <w:r>
              <w:rPr>
                <w:sz w:val="16"/>
              </w:rPr>
              <w:t>Même durée d’analyse, taux d’actualisation, facteur de charge et périmètre.</w:t>
            </w:r>
          </w:p>
        </w:tc>
      </w:tr>
      <w:tr>
        <w:tc>
          <w:tcPr>
            <w:tcW w:type="dxa" w:w="3360"/>
            <w:vAlign w:val="center"/>
          </w:tcPr>
          <w:p>
            <w:pPr>
              <w:spacing w:after="40"/>
            </w:pPr>
            <w:r>
              <w:rPr>
                <w:sz w:val="16"/>
              </w:rPr>
              <w:t>Aide publique</w:t>
            </w:r>
          </w:p>
        </w:tc>
        <w:tc>
          <w:tcPr>
            <w:tcW w:type="dxa" w:w="3360"/>
            <w:vAlign w:val="center"/>
          </w:tcPr>
          <w:p>
            <w:pPr>
              <w:spacing w:after="40"/>
            </w:pPr>
            <w:r>
              <w:rPr>
                <w:sz w:val="16"/>
              </w:rPr>
              <w:t>Aide demandée, aide par kg, durée, coût public actualisé</w:t>
            </w:r>
          </w:p>
        </w:tc>
        <w:tc>
          <w:tcPr>
            <w:tcW w:type="dxa" w:w="3360"/>
            <w:vAlign w:val="center"/>
          </w:tcPr>
          <w:p>
            <w:pPr>
              <w:spacing w:after="40"/>
            </w:pPr>
            <w:r>
              <w:rPr>
                <w:sz w:val="16"/>
              </w:rPr>
              <w:t>Distinguer coût de production, prix de vente et subvention.</w:t>
            </w:r>
          </w:p>
        </w:tc>
      </w:tr>
      <w:tr>
        <w:tc>
          <w:tcPr>
            <w:tcW w:type="dxa" w:w="3360"/>
            <w:vAlign w:val="center"/>
            <w:shd w:fill="F1F5F9"/>
          </w:tcPr>
          <w:p>
            <w:pPr>
              <w:spacing w:after="40"/>
            </w:pPr>
            <w:r>
              <w:rPr>
                <w:sz w:val="16"/>
              </w:rPr>
              <w:t>Émissions</w:t>
            </w:r>
          </w:p>
        </w:tc>
        <w:tc>
          <w:tcPr>
            <w:tcW w:type="dxa" w:w="3360"/>
            <w:vAlign w:val="center"/>
            <w:shd w:fill="F1F5F9"/>
          </w:tcPr>
          <w:p>
            <w:pPr>
              <w:spacing w:after="40"/>
            </w:pPr>
            <w:r>
              <w:rPr>
                <w:sz w:val="16"/>
              </w:rPr>
              <w:t>kg CO₂e/kg H₂ sur le cycle de vie; émissions évitées vs référence</w:t>
            </w:r>
          </w:p>
        </w:tc>
        <w:tc>
          <w:tcPr>
            <w:tcW w:type="dxa" w:w="3360"/>
            <w:vAlign w:val="center"/>
            <w:shd w:fill="F1F5F9"/>
          </w:tcPr>
          <w:p>
            <w:pPr>
              <w:spacing w:after="40"/>
            </w:pPr>
            <w:r>
              <w:rPr>
                <w:sz w:val="16"/>
              </w:rPr>
              <w:t>Même frontière du système; carbone biogénique, transport, fuites, captage et coproduits explicités.</w:t>
            </w:r>
          </w:p>
        </w:tc>
      </w:tr>
      <w:tr>
        <w:tc>
          <w:tcPr>
            <w:tcW w:type="dxa" w:w="3360"/>
            <w:vAlign w:val="center"/>
          </w:tcPr>
          <w:p>
            <w:pPr>
              <w:spacing w:after="40"/>
            </w:pPr>
            <w:r>
              <w:rPr>
                <w:sz w:val="16"/>
              </w:rPr>
              <w:t>Énergie</w:t>
            </w:r>
          </w:p>
        </w:tc>
        <w:tc>
          <w:tcPr>
            <w:tcW w:type="dxa" w:w="3360"/>
            <w:vAlign w:val="center"/>
          </w:tcPr>
          <w:p>
            <w:pPr>
              <w:spacing w:after="40"/>
            </w:pPr>
            <w:r>
              <w:rPr>
                <w:sz w:val="16"/>
              </w:rPr>
              <w:t>Électricité, chaleur et autres intrants par kg H₂; rendement global</w:t>
            </w:r>
          </w:p>
        </w:tc>
        <w:tc>
          <w:tcPr>
            <w:tcW w:type="dxa" w:w="3360"/>
            <w:vAlign w:val="center"/>
          </w:tcPr>
          <w:p>
            <w:pPr>
              <w:spacing w:after="40"/>
            </w:pPr>
            <w:r>
              <w:rPr>
                <w:sz w:val="16"/>
              </w:rPr>
              <w:t>Ne pas mélanger kWh électriques et thermiques sans convention explicite.</w:t>
            </w:r>
          </w:p>
        </w:tc>
      </w:tr>
      <w:tr>
        <w:tc>
          <w:tcPr>
            <w:tcW w:type="dxa" w:w="3360"/>
            <w:vAlign w:val="center"/>
            <w:shd w:fill="F1F5F9"/>
          </w:tcPr>
          <w:p>
            <w:pPr>
              <w:spacing w:after="40"/>
            </w:pPr>
            <w:r>
              <w:rPr>
                <w:sz w:val="16"/>
              </w:rPr>
              <w:t>Ressources</w:t>
            </w:r>
          </w:p>
        </w:tc>
        <w:tc>
          <w:tcPr>
            <w:tcW w:type="dxa" w:w="3360"/>
            <w:vAlign w:val="center"/>
            <w:shd w:fill="F1F5F9"/>
          </w:tcPr>
          <w:p>
            <w:pPr>
              <w:spacing w:after="40"/>
            </w:pPr>
            <w:r>
              <w:rPr>
                <w:sz w:val="16"/>
              </w:rPr>
              <w:t>Origine, disponibilité, prix, saisonnalité et durabilité des intrants</w:t>
            </w:r>
          </w:p>
        </w:tc>
        <w:tc>
          <w:tcPr>
            <w:tcW w:type="dxa" w:w="3360"/>
            <w:vAlign w:val="center"/>
            <w:shd w:fill="F1F5F9"/>
          </w:tcPr>
          <w:p>
            <w:pPr>
              <w:spacing w:after="40"/>
            </w:pPr>
            <w:r>
              <w:rPr>
                <w:sz w:val="16"/>
              </w:rPr>
              <w:t>Pour la biomasse, distinguer résidus produits, fraction mobilisable et usages concurrents.</w:t>
            </w:r>
          </w:p>
        </w:tc>
      </w:tr>
      <w:tr>
        <w:tc>
          <w:tcPr>
            <w:tcW w:type="dxa" w:w="3360"/>
            <w:vAlign w:val="center"/>
          </w:tcPr>
          <w:p>
            <w:pPr>
              <w:spacing w:after="40"/>
            </w:pPr>
            <w:r>
              <w:rPr>
                <w:sz w:val="16"/>
              </w:rPr>
              <w:t>Exploitation</w:t>
            </w:r>
          </w:p>
        </w:tc>
        <w:tc>
          <w:tcPr>
            <w:tcW w:type="dxa" w:w="3360"/>
            <w:vAlign w:val="center"/>
          </w:tcPr>
          <w:p>
            <w:pPr>
              <w:spacing w:after="40"/>
            </w:pPr>
            <w:r>
              <w:rPr>
                <w:sz w:val="16"/>
              </w:rPr>
              <w:t>Disponibilité annuelle, ramp-up, maintenance, durée de vie</w:t>
            </w:r>
          </w:p>
        </w:tc>
        <w:tc>
          <w:tcPr>
            <w:tcW w:type="dxa" w:w="3360"/>
            <w:vAlign w:val="center"/>
          </w:tcPr>
          <w:p>
            <w:pPr>
              <w:spacing w:after="40"/>
            </w:pPr>
            <w:r>
              <w:rPr>
                <w:sz w:val="16"/>
              </w:rPr>
              <w:t>Distinguer performances garanties, résultats pilotes et projections.</w:t>
            </w:r>
          </w:p>
        </w:tc>
      </w:tr>
      <w:tr>
        <w:tc>
          <w:tcPr>
            <w:tcW w:type="dxa" w:w="3360"/>
            <w:vAlign w:val="center"/>
            <w:shd w:fill="F1F5F9"/>
          </w:tcPr>
          <w:p>
            <w:pPr>
              <w:spacing w:after="40"/>
            </w:pPr>
            <w:r>
              <w:rPr>
                <w:sz w:val="16"/>
              </w:rPr>
              <w:t>Système</w:t>
            </w:r>
          </w:p>
        </w:tc>
        <w:tc>
          <w:tcPr>
            <w:tcW w:type="dxa" w:w="3360"/>
            <w:vAlign w:val="center"/>
            <w:shd w:fill="F1F5F9"/>
          </w:tcPr>
          <w:p>
            <w:pPr>
              <w:spacing w:after="40"/>
            </w:pPr>
            <w:r>
              <w:rPr>
                <w:sz w:val="16"/>
              </w:rPr>
              <w:t>Raccordement, flexibilité, stockage, chaleur utile, coproduits</w:t>
            </w:r>
          </w:p>
        </w:tc>
        <w:tc>
          <w:tcPr>
            <w:tcW w:type="dxa" w:w="3360"/>
            <w:vAlign w:val="center"/>
            <w:shd w:fill="F1F5F9"/>
          </w:tcPr>
          <w:p>
            <w:pPr>
              <w:spacing w:after="40"/>
            </w:pPr>
            <w:r>
              <w:rPr>
                <w:sz w:val="16"/>
              </w:rPr>
              <w:t>Crédits des coproduits transparents et sans double comptage.</w:t>
            </w:r>
          </w:p>
        </w:tc>
      </w:tr>
      <w:tr>
        <w:tc>
          <w:tcPr>
            <w:tcW w:type="dxa" w:w="3360"/>
            <w:vAlign w:val="center"/>
          </w:tcPr>
          <w:p>
            <w:pPr>
              <w:spacing w:after="40"/>
            </w:pPr>
            <w:r>
              <w:rPr>
                <w:sz w:val="16"/>
              </w:rPr>
              <w:t>Réalisation</w:t>
            </w:r>
          </w:p>
        </w:tc>
        <w:tc>
          <w:tcPr>
            <w:tcW w:type="dxa" w:w="3360"/>
            <w:vAlign w:val="center"/>
          </w:tcPr>
          <w:p>
            <w:pPr>
              <w:spacing w:after="40"/>
            </w:pPr>
            <w:r>
              <w:rPr>
                <w:sz w:val="16"/>
              </w:rPr>
              <w:t>Permis, approvisionnement, maturité, calendrier, garanties</w:t>
            </w:r>
          </w:p>
        </w:tc>
        <w:tc>
          <w:tcPr>
            <w:tcW w:type="dxa" w:w="3360"/>
            <w:vAlign w:val="center"/>
          </w:tcPr>
          <w:p>
            <w:pPr>
              <w:spacing w:after="40"/>
            </w:pPr>
            <w:r>
              <w:rPr>
                <w:sz w:val="16"/>
              </w:rPr>
              <w:t>Évaluer les risques sur une base commune.</w:t>
            </w:r>
          </w:p>
        </w:tc>
      </w:tr>
    </w:tbl>
    <w:p/>
    <w:p>
      <w:pPr>
        <w:pStyle w:val="Heading1"/>
      </w:pPr>
      <w:r>
        <w:t>7. Encadrer les chiffres économiques et climatiques</w:t>
      </w:r>
    </w:p>
    <w:p>
      <w:r>
        <w:t>Des porteurs de projets avancent parfois des coûts de l’ordre de 1 à 2 €/kg pour de grandes unités utilisant des biomasses. Des projets d’électrolyse peuvent afficher des coûts très différents selon le prix de l’électricité, le facteur de charge, le coût du capital et l’échelle. Ces valeurs ne doivent pas être présentées comme une comparaison générale démontrée sans données vérifiables et périmètres homogènes.</w:t>
      </w:r>
    </w:p>
    <w:p>
      <w:r>
        <w:t>De même, un chiffre de captation ou de bilan carbone en gCO₂e/kWh dépend du procédé, de la biomasse, de la référence, des consommations auxiliaires, du devenir du biochar et des frontières du bilan. Il faut préciser s’il s’agit d’émissions évitées, d’émissions négatives nettes ou d’intensité carbone.</w:t>
      </w:r>
    </w:p>
    <w:p>
      <w:pPr>
        <w:pStyle w:val="ListBullet"/>
      </w:pPr>
      <w:r>
        <w:t>Ne pas comparer un coût hors financement à un coût actualisé incluant le financement.</w:t>
      </w:r>
    </w:p>
    <w:p>
      <w:pPr>
        <w:pStyle w:val="ListBullet"/>
      </w:pPr>
      <w:r>
        <w:t>Ne pas présenter une aide publique par kilogramme comme le coût de production.</w:t>
      </w:r>
    </w:p>
    <w:p>
      <w:pPr>
        <w:pStyle w:val="ListBullet"/>
      </w:pPr>
      <w:r>
        <w:t>Ne pas affirmer que l’électrolyse est toujours non rentable : ses résultats varient avec l’électricité, le facteur de charge, le capital et l’usage final.</w:t>
      </w:r>
    </w:p>
    <w:p>
      <w:pPr>
        <w:pStyle w:val="ListBullet"/>
      </w:pPr>
      <w:r>
        <w:t>Ne pas affirmer que la Chine autorise toutes les voies ou atteindra une échelle donnée à une date précise sans sources sectorielles et réglementaires spécifiques.</w:t>
      </w:r>
    </w:p>
    <w:p>
      <w:pPr>
        <w:pStyle w:val="ListBullet"/>
      </w:pPr>
      <w:r>
        <w:t>Publier les hypothèses et les analyses de sensibilité aux prix, rendements, disponibilité et coûts des intrants.</w:t>
      </w:r>
    </w:p>
    <w:p>
      <w:pPr>
        <w:pStyle w:val="Heading1"/>
      </w:pPr>
      <w:r>
        <w:t>8. Compatibilité européenne et textes connexes à auditer</w:t>
      </w:r>
    </w:p>
    <w:p>
      <w:pPr>
        <w:pStyle w:val="ListBullet"/>
      </w:pPr>
      <w:r>
        <w:t>Définitions européennes de l’hydrogène renouvelable et, selon les cas, des carburants renouvelables d’origine non biologique.</w:t>
      </w:r>
    </w:p>
    <w:p>
      <w:pPr>
        <w:pStyle w:val="ListBullet"/>
      </w:pPr>
      <w:r>
        <w:t>Règles de durabilité et de réduction des émissions applicables aux biomasses et preuve de la chaîne d’approvisionnement.</w:t>
      </w:r>
    </w:p>
    <w:p>
      <w:pPr>
        <w:pStyle w:val="ListBullet"/>
      </w:pPr>
      <w:r>
        <w:t>Règles de l’Union européenne relatives aux aides d’État, y compris nécessité d’une notification ou autorisation préalable selon le dispositif.</w:t>
      </w:r>
    </w:p>
    <w:p>
      <w:pPr>
        <w:pStyle w:val="ListBullet"/>
      </w:pPr>
      <w:r>
        <w:t>Méthodes nationales de calcul du seuil d’émissions prévu à L.811-1 et arrêtés pris pour son application.</w:t>
      </w:r>
    </w:p>
    <w:p>
      <w:pPr>
        <w:pStyle w:val="ListBullet"/>
      </w:pPr>
      <w:r>
        <w:t>Certification, traçabilité et garanties d’origine prévues par les autres dispositions du Code de l’énergie.</w:t>
      </w:r>
    </w:p>
    <w:p>
      <w:pPr>
        <w:pStyle w:val="ListBullet"/>
      </w:pPr>
      <w:r>
        <w:t>Cahiers des charges déjà publiés, contrats-types et clauses incompatibles avec un champ technologique élargi.</w:t>
      </w:r>
    </w:p>
    <w:p>
      <w:r>
        <w:t>L’ouverture du mécanisme national ne rend pas automatiquement une voie éligible à tous les objectifs, certificats ou mécanismes européens. Une analyse dédiée de conformité européenne est indispensable.</w:t>
      </w:r>
    </w:p>
    <w:p>
      <w:pPr>
        <w:pStyle w:val="Heading1"/>
      </w:pPr>
      <w:r>
        <w:t>9. Séquence de mise en œuvre</w:t>
      </w:r>
    </w:p>
    <w:p>
      <w:pPr>
        <w:pStyle w:val="ListNumber"/>
      </w:pPr>
      <w:r>
        <w:t>Demander au Gouvernement une étude d’impact sur l’ouverture du mécanisme à toutes les technologies satisfaisant aux définitions légales.</w:t>
      </w:r>
    </w:p>
    <w:p>
      <w:pPr>
        <w:pStyle w:val="ListNumber"/>
      </w:pPr>
      <w:r>
        <w:t>Modifier L.812-1 et L.812-2, en conservant les exigences de qualification, de durabilité, d’émissions et de contrôle.</w:t>
      </w:r>
    </w:p>
    <w:p>
      <w:pPr>
        <w:pStyle w:val="ListNumber"/>
      </w:pPr>
      <w:r>
        <w:t>Vérifier si L.811-1, L.812-3 à L.812-10 et les dispositions de certification nécessitent des coordinations.</w:t>
      </w:r>
    </w:p>
    <w:p>
      <w:pPr>
        <w:pStyle w:val="ListNumber"/>
      </w:pPr>
      <w:r>
        <w:t>Modifier par décret les dispositions R.812-1 à R.812-26 nécessaires à l’ouverture et à l’évaluation comparable.</w:t>
      </w:r>
    </w:p>
    <w:p>
      <w:pPr>
        <w:pStyle w:val="ListNumber"/>
      </w:pPr>
      <w:r>
        <w:t>Adapter l’arrêté relatif aux données, aux méthodes de calcul et à la confidentialité.</w:t>
      </w:r>
    </w:p>
    <w:p>
      <w:pPr>
        <w:pStyle w:val="ListNumber"/>
      </w:pPr>
      <w:r>
        <w:t>Réviser les cahiers des charges, les pondérations et les formulaires d’appels d’offres.</w:t>
      </w:r>
    </w:p>
    <w:p>
      <w:pPr>
        <w:pStyle w:val="ListNumber"/>
      </w:pPr>
      <w:r>
        <w:t>Publier périodiquement des indicateurs agrégés sur les coûts, performances, émissions et soutiens, avec vérification indépendante si nécessaire.</w:t>
      </w:r>
    </w:p>
    <w:p>
      <w:pPr>
        <w:pStyle w:val="Heading1"/>
      </w:pPr>
      <w:r>
        <w:t>10. Questions parlementaires proposées</w:t>
      </w:r>
    </w:p>
    <w:p>
      <w:pPr>
        <w:pStyle w:val="ListNumber"/>
      </w:pPr>
      <w:r>
        <w:t>Pourquoi L.812-1 et L.812-2 limitent-ils ce mécanisme à l’électrolyse alors que L.811-1 envisage d’autres technologies renouvelables sous conditions ?</w:t>
      </w:r>
    </w:p>
    <w:p>
      <w:pPr>
        <w:pStyle w:val="ListNumber"/>
      </w:pPr>
      <w:r>
        <w:t>Le Gouvernement a-t-il évalué les conséquences industrielles et budgétaires d’une ouverture à des voies thermochimiques utilisant des biomasses durables ?</w:t>
      </w:r>
    </w:p>
    <w:p>
      <w:pPr>
        <w:pStyle w:val="ListNumber"/>
      </w:pPr>
      <w:r>
        <w:t>Les cahiers des charges permettent-ils une comparaison homogène du coût complet, des émissions de cycle de vie et des besoins énergétiques ?</w:t>
      </w:r>
    </w:p>
    <w:p>
      <w:pPr>
        <w:pStyle w:val="ListNumber"/>
      </w:pPr>
      <w:r>
        <w:t>Quelles modifications législatives, réglementaires et d’arrêtés seraient nécessaires pour assurer la neutralité technologique sans réduire les exigences climatiques et de durabilité ?</w:t>
      </w:r>
    </w:p>
    <w:p>
      <w:pPr>
        <w:pStyle w:val="ListNumber"/>
      </w:pPr>
      <w:r>
        <w:t>Le Gouvernement envisage-t-il de publier des indicateurs agrégés sur les coûts réels et les performances des installations soutenues, dans le respect du secret des affaires ?</w:t>
      </w:r>
    </w:p>
    <w:p>
      <w:pPr>
        <w:pStyle w:val="Heading1"/>
      </w:pPr>
      <w:r>
        <w:t>11. Formulation synthétique de la réforme</w:t>
      </w:r>
    </w:p>
    <w:tbl>
      <w:tblPr>
        <w:tblStyle w:val="TableGrid"/>
        <w:tblW w:type="auto" w:w="0"/>
        <w:tblLook w:firstColumn="1" w:firstRow="1" w:lastColumn="0" w:lastRow="0" w:noHBand="0" w:noVBand="1" w:val="04A0"/>
      </w:tblPr>
      <w:tblGrid>
        <w:gridCol w:w="10080"/>
      </w:tblGrid>
      <w:tr>
        <w:tc>
          <w:tcPr>
            <w:tcW w:type="dxa" w:w="10080"/>
            <w:shd w:fill="DDEBF7"/>
          </w:tcPr>
          <w:p>
            <w:r/>
            <w:r>
              <w:rPr>
                <w:b/>
                <w:color w:val="12345A"/>
              </w:rPr>
              <w:t>Proposition politique</w:t>
              <w:br/>
            </w:r>
            <w:r>
              <w:t>« Ouvrir le dispositif de soutien à toutes les technologies capables de produire un hydrogène légalement renouvelable ou bas-carbone ; comparer les projets sur des critères objectifs et homogènes de coût complet, d’émissions sur le cycle de vie, d’efficacité, de durabilité des ressources et de maturité industrielle ; sélectionner les projets offrant la meilleure contribution aux objectifs publics pour un soutien proportionné. »</w:t>
            </w:r>
          </w:p>
        </w:tc>
      </w:tr>
    </w:tbl>
    <w:p/>
    <w:p>
      <w:pPr>
        <w:pStyle w:val="Heading1"/>
      </w:pPr>
      <w:r>
        <w:t>12. Sources officielles</w:t>
      </w:r>
    </w:p>
    <w:p>
      <w:r>
        <w:rPr>
          <w:b/>
        </w:rPr>
        <w:t xml:space="preserve">Code de l’énergie — L.811-1: </w:t>
      </w:r>
      <w:r>
        <w:t>https://www.legifrance.gouv.fr/codes/article_lc/LEGIARTI000049463903/2026-02-22</w:t>
      </w:r>
    </w:p>
    <w:p>
      <w:r>
        <w:rPr>
          <w:b/>
        </w:rPr>
        <w:t xml:space="preserve">Code de l’énergie — L.812-1: </w:t>
      </w:r>
      <w:r>
        <w:t>https://www.legifrance.gouv.fr/codes/article_lc/LEGIARTI000043154077/2026-07-13</w:t>
      </w:r>
    </w:p>
    <w:p>
      <w:r>
        <w:rPr>
          <w:b/>
        </w:rPr>
        <w:t xml:space="preserve">Code de l’énergie — L.812-2: </w:t>
      </w:r>
      <w:r>
        <w:t>https://www.legifrance.gouv.fr/codes/article_lc/LEGIARTI000043154079/2026-10-09</w:t>
      </w:r>
    </w:p>
    <w:p>
      <w:r>
        <w:rPr>
          <w:b/>
        </w:rPr>
        <w:t xml:space="preserve">Code de l’énergie — R.812-1 à R.812-26: </w:t>
      </w:r>
      <w:r>
        <w:t>https://www.legifrance.gouv.fr/codes/id/LEGISCTA000048040122</w:t>
      </w:r>
    </w:p>
    <w:p>
      <w:r>
        <w:rPr>
          <w:b/>
        </w:rPr>
        <w:t xml:space="preserve">Décret n° 2023-854 du 1er septembre 2023: </w:t>
      </w:r>
      <w:r>
        <w:t>https://www.legifrance.gouv.fr/jorf/id/JORFTEXT000048039013</w:t>
      </w:r>
    </w:p>
    <w:p>
      <w:pPr>
        <w:pStyle w:val="Heading1"/>
      </w:pPr>
      <w:r>
        <w:t>Note de méthode</w:t>
      </w:r>
    </w:p>
    <w:p>
      <w:r>
        <w:t>Les extraits légaux sont des citations ciblées ou des résumés, non une reproduction intégrale du Code. Les formulations « proposées » sont des pistes de travail non opposables et peuvent nécessiter une réécriture par les services juridiques. Le document n’affirme pas que chaque appel d’offres actuel discrimine effectivement les technologies non électrolytiques : cela doit être vérifié sur les cahiers des charges et actes d’application concrets.</w:t>
      </w:r>
    </w:p>
    <w:p>
      <w:r>
        <w:t>La démarche vise la neutralité technologique fondée sur les performances, et non l’attribution automatique d’un soutien à une technologie ou à une entreprise déterminée.</w:t>
      </w:r>
    </w:p>
    <w:p>
      <w:r>
        <w:br w:type="page"/>
      </w:r>
    </w:p>
    <w:p>
      <w:pPr>
        <w:pStyle w:val="Heading1"/>
      </w:pPr>
      <w:r>
        <w:t>11. Dimension européenne : vérifier la compatibilité et agir au bon niveau</w:t>
      </w:r>
    </w:p>
    <w:p>
      <w:r>
        <w:t>La réforme française proposée doit être compatible avec le droit de l’Union. Le point à vérifier n’est pas de présumer que Bruxelles impose la restriction française à l’électrolyse, mais de distinguer : (1) les choix inscrits dans le Code de l’énergie ; (2) les critères européens de qualification, de durabilité et d’émissions ; (3) les conditions de l’autorisation européenne du régime d’aide français. Une modification du régime d’aide peut nécessiter une démarche auprès de la Commission, même si une modification des textes européens n’est pas nécessaire.</w:t>
      </w:r>
    </w:p>
    <w:p>
      <w:pPr>
        <w:pStyle w:val="Heading2"/>
      </w:pPr>
      <w:r>
        <w:t>Tableau de travail — textes, questions et actions proposées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pPr>
              <w:spacing w:after="60"/>
            </w:pPr>
            <w:r>
              <w:rPr>
                <w:b/>
                <w:sz w:val="17"/>
              </w:rPr>
              <w:t>Texte ou dispositif</w:t>
            </w:r>
          </w:p>
        </w:tc>
        <w:tc>
          <w:tcPr>
            <w:tcW w:type="dxa" w:w="3360"/>
          </w:tcPr>
          <w:p>
            <w:pPr>
              <w:spacing w:after="60"/>
            </w:pPr>
            <w:r>
              <w:rPr>
                <w:b/>
                <w:sz w:val="17"/>
              </w:rPr>
              <w:t>Question à examiner</w:t>
            </w:r>
          </w:p>
        </w:tc>
        <w:tc>
          <w:tcPr>
            <w:tcW w:type="dxa" w:w="3360"/>
          </w:tcPr>
          <w:p>
            <w:pPr>
              <w:spacing w:after="60"/>
            </w:pPr>
            <w:r>
              <w:rPr>
                <w:b/>
                <w:sz w:val="17"/>
              </w:rPr>
              <w:t>Action envisagée</w:t>
            </w:r>
          </w:p>
        </w:tc>
      </w:tr>
      <w:tr>
        <w:tc>
          <w:tcPr>
            <w:tcW w:type="dxa" w:w="3360"/>
            <w:vAlign w:val="center"/>
          </w:tcPr>
          <w:p>
            <w:pPr>
              <w:spacing w:after="60"/>
            </w:pPr>
            <w:r>
              <w:rPr>
                <w:sz w:val="17"/>
              </w:rPr>
              <w:t>Directive (UE) 2024/1788</w:t>
            </w:r>
          </w:p>
        </w:tc>
        <w:tc>
          <w:tcPr>
            <w:tcW w:type="dxa" w:w="3360"/>
            <w:vAlign w:val="center"/>
          </w:tcPr>
          <w:p>
            <w:pPr>
              <w:spacing w:after="60"/>
            </w:pPr>
            <w:r>
              <w:rPr>
                <w:sz w:val="17"/>
              </w:rPr>
              <w:t>Qualification et certification de l’hydrogène bas-carbone ; articulation avec les règles applicables à l’hydrogène renouvelable.</w:t>
            </w:r>
          </w:p>
        </w:tc>
        <w:tc>
          <w:tcPr>
            <w:tcW w:type="dxa" w:w="3360"/>
            <w:vAlign w:val="center"/>
          </w:tcPr>
          <w:p>
            <w:pPr>
              <w:spacing w:after="60"/>
            </w:pPr>
            <w:r>
              <w:rPr>
                <w:sz w:val="17"/>
              </w:rPr>
              <w:t>Vérifier les dispositions applicables et leur transposition française.</w:t>
            </w:r>
          </w:p>
        </w:tc>
      </w:tr>
      <w:tr>
        <w:tc>
          <w:tcPr>
            <w:tcW w:type="dxa" w:w="3360"/>
            <w:vAlign w:val="center"/>
          </w:tcPr>
          <w:p>
            <w:pPr>
              <w:spacing w:after="60"/>
            </w:pPr>
            <w:r>
              <w:rPr>
                <w:sz w:val="17"/>
              </w:rPr>
              <w:t>Directive (UE) 2018/2001, modifiée notamment par RED III</w:t>
            </w:r>
          </w:p>
        </w:tc>
        <w:tc>
          <w:tcPr>
            <w:tcW w:type="dxa" w:w="3360"/>
            <w:vAlign w:val="center"/>
          </w:tcPr>
          <w:p>
            <w:pPr>
              <w:spacing w:after="60"/>
            </w:pPr>
            <w:r>
              <w:rPr>
                <w:sz w:val="17"/>
              </w:rPr>
              <w:t>Durabilité de la biomasse et conditions de qualification de l’hydrogène renouvelable.</w:t>
            </w:r>
          </w:p>
        </w:tc>
        <w:tc>
          <w:tcPr>
            <w:tcW w:type="dxa" w:w="3360"/>
            <w:vAlign w:val="center"/>
          </w:tcPr>
          <w:p>
            <w:pPr>
              <w:spacing w:after="60"/>
            </w:pPr>
            <w:r>
              <w:rPr>
                <w:sz w:val="17"/>
              </w:rPr>
              <w:t>Vérifier les critères applicables aux voies thermochimiques ; ne pas présumer d’une éligibilité automatique.</w:t>
            </w:r>
          </w:p>
        </w:tc>
      </w:tr>
      <w:tr>
        <w:tc>
          <w:tcPr>
            <w:tcW w:type="dxa" w:w="3360"/>
            <w:vAlign w:val="center"/>
          </w:tcPr>
          <w:p>
            <w:pPr>
              <w:spacing w:after="60"/>
            </w:pPr>
            <w:r>
              <w:rPr>
                <w:sz w:val="17"/>
              </w:rPr>
              <w:t>Règlements délégués (UE) 2023/1184 et 2023/1185</w:t>
            </w:r>
          </w:p>
        </w:tc>
        <w:tc>
          <w:tcPr>
            <w:tcW w:type="dxa" w:w="3360"/>
            <w:vAlign w:val="center"/>
          </w:tcPr>
          <w:p>
            <w:pPr>
              <w:spacing w:after="60"/>
            </w:pPr>
            <w:r>
              <w:rPr>
                <w:sz w:val="17"/>
              </w:rPr>
              <w:t>Champ exact des règles sur les carburants renouvelables d’origine non biologique et calcul des émissions.</w:t>
            </w:r>
          </w:p>
        </w:tc>
        <w:tc>
          <w:tcPr>
            <w:tcW w:type="dxa" w:w="3360"/>
            <w:vAlign w:val="center"/>
          </w:tcPr>
          <w:p>
            <w:pPr>
              <w:spacing w:after="60"/>
            </w:pPr>
            <w:r>
              <w:rPr>
                <w:sz w:val="17"/>
              </w:rPr>
              <w:t>Éviter de les interpréter comme une interdiction générale de l’hydrogène issu de biomasse ; vérifier leur champ précis.</w:t>
            </w:r>
          </w:p>
        </w:tc>
      </w:tr>
      <w:tr>
        <w:tc>
          <w:tcPr>
            <w:tcW w:type="dxa" w:w="3360"/>
            <w:vAlign w:val="center"/>
          </w:tcPr>
          <w:p>
            <w:pPr>
              <w:spacing w:after="60"/>
            </w:pPr>
            <w:r>
              <w:rPr>
                <w:sz w:val="17"/>
              </w:rPr>
              <w:t>Régime d’aide français SA.101951</w:t>
            </w:r>
          </w:p>
        </w:tc>
        <w:tc>
          <w:tcPr>
            <w:tcW w:type="dxa" w:w="3360"/>
            <w:vAlign w:val="center"/>
          </w:tcPr>
          <w:p>
            <w:pPr>
              <w:spacing w:after="60"/>
            </w:pPr>
            <w:r>
              <w:rPr>
                <w:sz w:val="17"/>
              </w:rPr>
              <w:t>Périmètre exact de l’autorisation de la Commission et conditions du mécanisme français de soutien à l’hydrogène décarboné.</w:t>
            </w:r>
          </w:p>
        </w:tc>
        <w:tc>
          <w:tcPr>
            <w:tcW w:type="dxa" w:w="3360"/>
            <w:vAlign w:val="center"/>
          </w:tcPr>
          <w:p>
            <w:pPr>
              <w:spacing w:after="60"/>
            </w:pPr>
            <w:r>
              <w:rPr>
                <w:sz w:val="17"/>
              </w:rPr>
              <w:t>Demander à la DGEC et à la Commission si une extension aux voies thermochimiques nécessite une modification ou une nouvelle notification.</w:t>
            </w:r>
          </w:p>
        </w:tc>
      </w:tr>
      <w:tr>
        <w:tc>
          <w:tcPr>
            <w:tcW w:type="dxa" w:w="3360"/>
            <w:vAlign w:val="center"/>
          </w:tcPr>
          <w:p>
            <w:pPr>
              <w:spacing w:after="60"/>
            </w:pPr>
            <w:r>
              <w:rPr>
                <w:sz w:val="17"/>
              </w:rPr>
              <w:t>Appels d’offres et cahiers des charges français</w:t>
            </w:r>
          </w:p>
        </w:tc>
        <w:tc>
          <w:tcPr>
            <w:tcW w:type="dxa" w:w="3360"/>
            <w:vAlign w:val="center"/>
          </w:tcPr>
          <w:p>
            <w:pPr>
              <w:spacing w:after="60"/>
            </w:pPr>
            <w:r>
              <w:rPr>
                <w:sz w:val="17"/>
              </w:rPr>
              <w:t>Critères d’éligibilité, pondération et comparabilité des performances des technologies admises.</w:t>
            </w:r>
          </w:p>
        </w:tc>
        <w:tc>
          <w:tcPr>
            <w:tcW w:type="dxa" w:w="3360"/>
            <w:vAlign w:val="center"/>
          </w:tcPr>
          <w:p>
            <w:pPr>
              <w:spacing w:after="60"/>
            </w:pPr>
            <w:r>
              <w:rPr>
                <w:sz w:val="17"/>
              </w:rPr>
              <w:t>Proposer des critères transparents et vérifiables : coût complet, émissions sur le cycle de vie, durabilité, efficacité et maturité industrielle.</w:t>
            </w:r>
          </w:p>
        </w:tc>
      </w:tr>
    </w:tbl>
    <w:p>
      <w:pPr>
        <w:pStyle w:val="Heading2"/>
      </w:pPr>
      <w:r>
        <w:t>Qui peut agir au niveau européen ?</w:t>
      </w:r>
    </w:p>
    <w:p>
      <w:r>
        <w:t>• Députés français au Parlement européen membres de la commission ITRE (industrie, recherche et énergie), et, pour les aspects environnementaux, membres de la commission ENVI. Leur demander d’interroger la Commission et d’examiner les éventuels obstacles européens documentés. Liste officielle des membres ITRE : https://www.europarl.europa.eu/committees/fr/itre/about</w:t>
      </w:r>
    </w:p>
    <w:p>
      <w:r>
        <w:t>• Commission européenne : direction générale de l’énergie (DG ENER) pour le cadre énergétique et direction générale de la concurrence (DG COMP) pour l’autorisation des aides d’État. La DG CLIMA peut être concernée par les méthodes d’émissions et les objectifs climatiques.</w:t>
      </w:r>
    </w:p>
    <w:p>
      <w:r>
        <w:t>• En France : demander au ministère chargé de l’énergie / à la DGEC de confirmer la marge de manœuvre nationale et, si nécessaire, de porter une demande formelle de clarification ou d’évolution du régime d’aide auprès de la Commission.</w:t>
      </w:r>
    </w:p>
    <w:p>
      <w:pPr>
        <w:pStyle w:val="Heading2"/>
      </w:pPr>
      <w:r>
        <w:t>Demande proposée aux parlementaires européens</w:t>
      </w:r>
    </w:p>
    <w:p>
      <w:r>
        <w:t>« Nous vous demandons de vérifier, avec la Commission européenne, si le droit de l’Union et l’autorisation du régime d’aide français permettent d’évaluer, dans des conditions équitables et comparables, toutes les technologies capables de produire de l’hydrogène renouvelable ou bas-carbone conforme aux critères européens. Si l’obstacle relève du seul dispositif français, une adaptation nationale devrait être étudiée ; si un obstacle découle d’un texte européen, il conviendrait d’en préciser la disposition et d’évaluer la nécessité d’une évolution ciblée. »</w:t>
      </w:r>
    </w:p>
    <w:p>
      <w:pPr>
        <w:pStyle w:val="Heading2"/>
      </w:pPr>
      <w:r>
        <w:t>Références européennes utiles</w:t>
      </w:r>
    </w:p>
    <w:p>
      <w:r>
        <w:t>• Directive (UE) 2024/1788 : https://eur-lex.europa.eu/legal-content/FR/TXT/?uri=CELEX:32024L1788</w:t>
      </w:r>
    </w:p>
    <w:p>
      <w:r>
        <w:t>• Directive (UE) 2018/2001 : https://eur-lex.europa.eu/legal-content/FR/TXT/?uri=CELEX:32018L2001</w:t>
      </w:r>
    </w:p>
    <w:p>
      <w:r>
        <w:t>• Règlement délégué (UE) 2023/1184 : https://eur-lex.europa.eu/eli/reg_del/2023/1184/oj</w:t>
      </w:r>
    </w:p>
    <w:p>
      <w:r>
        <w:t>• Règlement délégué (UE) 2023/1185 : https://eur-lex.europa.eu/eli/reg_del/2023/1185/oj</w:t>
      </w:r>
    </w:p>
    <w:p>
      <w:r>
        <w:t>• Autorisation du régime d’aide SA.101951, publiée au Journal officiel de l’Union européenne le 24 avril 2026 : https://eur-lex.europa.eu/legal-content/FR/TXT/?uri=CELEX:52026AS101951</w:t>
      </w:r>
    </w:p>
    <w:p>
      <w:r>
        <w:t>Cette annexe identifie des vérifications à conduire ; elle ne conclut pas à l’existence d’une incompatibilité européenne ni à la nécessité de modifier un texte de l’Union. Les éventuelles propositions législatives européennes relatives au SAF et au biométhane feront l’objet d’analyses distinctes, sur la même méthode.</w:t>
      </w:r>
    </w:p>
    <w:p>
      <w:pPr>
        <w:pStyle w:val="Heading1"/>
      </w:pPr>
      <w:r>
        <w:t>Annexe — Destinataires possibles et méthode de diffusion</w:t>
      </w:r>
    </w:p>
    <w:p>
      <w:r>
        <w:t>Ce dossier est destiné aux parlementaires et aux équipes publiques qui peuvent examiner, proposer, rédiger, amender ou mettre en œuvre une évolution du cadre législatif et réglementaire de soutien à la production d’hydrogène.</w:t>
      </w:r>
    </w:p>
    <w:p>
      <w:pPr>
        <w:pStyle w:val="Heading2"/>
      </w:pPr>
      <w:r>
        <w:t>A. Destinataires institutionnels</w:t>
      </w:r>
    </w:p>
    <w:p>
      <w:pPr>
        <w:pStyle w:val="ListBullet"/>
      </w:pPr>
      <w:r>
        <w:t>Assemblée nationale — députés membres de la commission des affaires économiques, de la commission du développement durable et de l’aménagement du territoire, ainsi que les membres du groupe d’études « Énergies durables et hydrogène ».</w:t>
      </w:r>
    </w:p>
    <w:p>
      <w:pPr>
        <w:pStyle w:val="ListBullet"/>
      </w:pPr>
      <w:r>
        <w:t>Sénat — sénateurs membres de la commission des affaires économiques et du groupe d’études « Énergie ».</w:t>
      </w:r>
    </w:p>
    <w:p>
      <w:pPr>
        <w:pStyle w:val="ListBullet"/>
      </w:pPr>
      <w:r>
        <w:t>Gouvernement — ministre chargé de l’énergie et son cabinet, services chargés de l’énergie et de l’industrie, ainsi que les équipes responsables de la réglementation des aides et des appels d’offres.</w:t>
      </w:r>
    </w:p>
    <w:p>
      <w:pPr>
        <w:pStyle w:val="ListBullet"/>
      </w:pPr>
      <w:r>
        <w:t>Administrations et organismes techniques — services rédacteurs du Code de l’énergie, ADEME et Commission de régulation de l’énergie, dans la mesure où leurs compétences respectives sont concernées.</w:t>
      </w:r>
    </w:p>
    <w:p>
      <w:pPr>
        <w:pStyle w:val="ListBullet"/>
      </w:pPr>
      <w:r>
        <w:t>Équipes parlementaires — collaborateurs chargés de l’énergie, de l’industrie, du budget, du droit public et de la rédaction des amendements.</w:t>
      </w:r>
    </w:p>
    <w:p>
      <w:pPr>
        <w:pStyle w:val="Heading2"/>
      </w:pPr>
      <w:r>
        <w:t>B. Premiers points d’entrée documentés</w:t>
      </w:r>
    </w:p>
    <w:p>
      <w:r>
        <w:t>Les noms ci-dessous sont des points d’entrée institutionnels à la date des pages officielles consultées. Les fonctions et compositions peuvent évoluer ; vérifier la page officielle avant tout envoi.</w:t>
      </w:r>
    </w:p>
    <w:p>
      <w:pPr>
        <w:pStyle w:val="ListBullet"/>
      </w:pPr>
      <w:r>
        <w:t>Jean-Luc Fugit — vice-président du groupe d’études « Énergies durables et hydrogène » de l’Assemblée nationale et membre de la commission des affaires économiques.</w:t>
      </w:r>
    </w:p>
    <w:p>
      <w:pPr>
        <w:pStyle w:val="ListBullet"/>
      </w:pPr>
      <w:r>
        <w:t>Damien Girard — président du groupe d’études « Énergies durables et hydrogène » de l’Assemblée nationale.</w:t>
      </w:r>
    </w:p>
    <w:p>
      <w:pPr>
        <w:pStyle w:val="ListBullet"/>
      </w:pPr>
      <w:r>
        <w:t>Stéphane Travert — président de la commission des affaires économiques de l’Assemblée nationale selon la composition publiée au 27 septembre 2026.</w:t>
      </w:r>
    </w:p>
    <w:p>
      <w:pPr>
        <w:pStyle w:val="ListBullet"/>
      </w:pPr>
      <w:r>
        <w:t>Daniel Gremillet — président du groupe d’études « Énergie » du Sénat.</w:t>
      </w:r>
    </w:p>
    <w:p>
      <w:pPr>
        <w:pStyle w:val="Heading2"/>
      </w:pPr>
      <w:r>
        <w:t>C. Où identifier d’autres destinataires</w:t>
      </w:r>
    </w:p>
    <w:p>
      <w:pPr>
        <w:pStyle w:val="ListBullet"/>
      </w:pPr>
      <w:r>
        <w:t>Assemblée nationale : consulter la composition actualisée de la commission des affaires économiques et du groupe d’études « Énergies durables et hydrogène » ; filtrer les membres siégeant aussi à la commission du développement durable ou à la commission des finances.</w:t>
      </w:r>
    </w:p>
    <w:p>
      <w:pPr>
        <w:pStyle w:val="ListBullet"/>
      </w:pPr>
      <w:r>
        <w:t>Sénat : consulter la composition de la commission des affaires économiques et du groupe d’études « Énergie », puis repérer les rapporteurs des textes budgétaires ou énergétiques en cours.</w:t>
      </w:r>
    </w:p>
    <w:p>
      <w:pPr>
        <w:pStyle w:val="ListBullet"/>
      </w:pPr>
      <w:r>
        <w:t>Gouvernement : consulter l’organigramme du ministère chargé de l’énergie et les attributions des conseillers du cabinet, notamment énergie, industrie, décarbonation, réglementation et relations avec le Parlement.</w:t>
      </w:r>
    </w:p>
    <w:p>
      <w:pPr>
        <w:pStyle w:val="ListBullet"/>
      </w:pPr>
      <w:r>
        <w:t>Pour chaque nom, rechercher le profil LinkedIn à partir du nom exact et de la fonction officielle ; vérifier qu’il s’agit bien de la personne concernée et privilégier les profils qui mentionnent explicitement énergie, hydrogène, industrie, réglementation ou travail parlementaire.</w:t>
      </w:r>
    </w:p>
    <w:p>
      <w:pPr>
        <w:pStyle w:val="ListBullet"/>
      </w:pPr>
      <w:r>
        <w:t>Diversifier les sensibilités politiques et les territoires : le dossier porte sur la méthode d’évaluation et la compétitivité industrielle, pas sur l’adhésion à un parti ou à une entreprise.</w:t>
      </w:r>
    </w:p>
    <w:p>
      <w:pPr>
        <w:pStyle w:val="Heading2"/>
      </w:pPr>
      <w:r>
        <w:t>D. Liens institutionnels de repérage</w:t>
      </w:r>
    </w:p>
    <w:p>
      <w:r>
        <w:rPr>
          <w:b/>
        </w:rPr>
        <w:t xml:space="preserve">Groupe d’études « Énergies durables et hydrogène » — Assemblée nationale : </w:t>
      </w:r>
      <w:r>
        <w:t>https://www2.assemblee-nationale.fr/instances/tableau/OMC_PO854396/2026-05-08</w:t>
      </w:r>
    </w:p>
    <w:p>
      <w:r>
        <w:rPr>
          <w:b/>
        </w:rPr>
        <w:t xml:space="preserve">Commission des affaires économiques — composition — Assemblée nationale : </w:t>
      </w:r>
      <w:r>
        <w:t>https://www.assemblee-nationale.fr/dyn/17/organes/commissions-permanentes/affaires-economiques/composition</w:t>
      </w:r>
    </w:p>
    <w:p>
      <w:r>
        <w:rPr>
          <w:b/>
        </w:rPr>
        <w:t xml:space="preserve">Groupe d’études « Énergie » — Sénat : </w:t>
      </w:r>
      <w:r>
        <w:t>https://www.senat.fr/travaux-parlementaires/commissions/commission-des-affaires-economiques/affaires-economiques/les-groupes-detudes/groupe-detudes-energie-1.html</w:t>
      </w:r>
    </w:p>
    <w:p>
      <w:r>
        <w:rPr>
          <w:b/>
        </w:rPr>
        <w:t xml:space="preserve">Code de l’énergie — partie réglementaire, articles R.812-1 à R.812-26 : </w:t>
      </w:r>
      <w:r>
        <w:t>https://www.legifrance.gouv.fr/codes/id/LEGISCTA000048040122</w:t>
      </w:r>
    </w:p>
    <w:p>
      <w:pPr>
        <w:pStyle w:val="Heading2"/>
      </w:pPr>
      <w:r>
        <w:t>E. Proposition de message d’accompagnement</w:t>
      </w:r>
    </w:p>
    <w:p>
      <w:pPr>
        <w:ind w:left="280" w:right="280"/>
      </w:pPr>
      <w:r>
        <w:rPr>
          <w:i/>
        </w:rPr>
        <w:t>« Je vous transmets un dossier de travail proposant une évolution du cadre de soutien à l’hydrogène afin que les technologies légalement admissibles puissent être comparées selon des critères objectifs et homogènes. Le document distingue le droit en vigueur des rédactions proposées et signale les points nécessitant une expertise juridique et une coordination avec les textes européens. Si ce sujet relève d’un autre membre de votre équipe ou d’une autre commission, je vous serais reconnaissant de bien vouloir lui transmettre ce dossier. »</w:t>
      </w:r>
    </w:p>
    <w:p>
      <w:pPr>
        <w:pStyle w:val="Heading2"/>
      </w:pPr>
      <w:r>
        <w:t>F. Attribution, sources et statut du document</w:t>
      </w:r>
    </w:p>
    <w:p>
      <w:r>
        <w:t>Auteur et initiateur de la proposition : Éric Jacob. Ce document est un travail indépendant de synthèse, d’analyse et de proposition citoyenne. Il ne constitue pas un avis juridique officiel et n’engage aucune institution ni aucune entreprise, sauf mandat écrit distinct.</w:t>
      </w:r>
    </w:p>
    <w:p>
      <w:r>
        <w:t>Les sources juridiques principales sont les textes publiés sur Légifrance. Les références institutionnelles relatives aux commissions et groupes d’études proviennent des sites officiels de l’Assemblée nationale et du Sénat. Les rédactions proposées sont des propositions de travail et non le droit en vigueur. Les destinataires sont invités à vérifier la version consolidée des textes, les arrêtés et les cahiers des charges applicables avant toute utilisation législative ou réglementaire.</w:t>
      </w:r>
    </w:p>
    <w:sectPr w:rsidR="00FC693F" w:rsidRPr="0006063C" w:rsidSect="00034616">
      <w:footerReference w:type="default" r:id="rId9"/>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Dossier de travail — réforme du soutien à l’hydrogène | 11 octobre 2026 | 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2345A"/>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76B6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B45309"/>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2345A"/>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Dossier hydrogène — réforme technologiquement neutre et dimension européenne</dc:title>
  <dc:subject>Proposition de réforme législative et réglementaire du soutien à l'hydrogène</dc:subject>
  <dc:creator>Éric Jacob</dc:creator>
  <cp:keywords>hydrogène, Code de l'énergie, neutralité technologique, réforme réglementaire</cp:keywords>
  <dc:description>generated by python-docx</dc:description>
  <cp:lastModifiedBy/>
  <cp:revision>1</cp:revision>
  <dcterms:created xsi:type="dcterms:W3CDTF">2013-12-23T23:15:00Z</dcterms:created>
  <dcterms:modified xsi:type="dcterms:W3CDTF">2013-12-23T23:15:00Z</dcterms:modified>
  <cp:category/>
</cp:coreProperties>
</file>