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response-to-peer-reviewers"/>
    <w:p>
      <w:pPr>
        <w:pStyle w:val="Heading1"/>
      </w:pPr>
      <w:r>
        <w:t xml:space="preserve">Response to Peer Reviewers</w:t>
      </w:r>
    </w:p>
    <w:p>
      <w:pPr>
        <w:pStyle w:val="FirstParagraph"/>
      </w:pPr>
      <w:r>
        <w:rPr>
          <w:b/>
          <w:bCs/>
        </w:rPr>
        <w:t xml:space="preserve">Manuscript Title:</w:t>
      </w:r>
      <w:r>
        <w:t xml:space="preserve"> </w:t>
      </w:r>
      <w:r>
        <w:t xml:space="preserve">High-Resolution Characterization of Oral-Gut Microbiome Dysbiosis and Predicted Functional Reprogramming in Alzheimer’s Disease</w:t>
      </w:r>
      <w:r>
        <w:br/>
      </w:r>
      <w:r>
        <w:rPr>
          <w:b/>
          <w:bCs/>
        </w:rPr>
        <w:t xml:space="preserve">Journal:</w:t>
      </w:r>
      <w:r>
        <w:t xml:space="preserve"> </w:t>
      </w:r>
      <w:r>
        <w:rPr>
          <w:i/>
          <w:iCs/>
        </w:rPr>
        <w:t xml:space="preserve">The Microbe</w:t>
      </w:r>
      <w:r>
        <w:br/>
      </w:r>
      <w:r>
        <w:rPr>
          <w:b/>
          <w:bCs/>
        </w:rPr>
        <w:t xml:space="preserve">Submission Status:</w:t>
      </w:r>
      <w:r>
        <w:t xml:space="preserve"> </w:t>
      </w:r>
      <w:r>
        <w:t xml:space="preserve">Revised Manuscript Submission</w:t>
      </w:r>
    </w:p>
    <w:p>
      <w:pPr>
        <w:pStyle w:val="BodyText"/>
      </w:pPr>
      <w:r>
        <w:t xml:space="preserve">We thank the Editor and the Reviewers for their exceptionally constructive, thorough, and insightful comments on our manuscript. We have addressed every concern systematically, which has substantially improved the scientific rigor, statistical clarity, and overall quality of our study. Below, we present our detailed, point-by-point responses to the comments, including the exact statistical results, figure reconstructions, and textual edits made to the manuscript.</w:t>
      </w:r>
    </w:p>
    <w:p>
      <w:pPr>
        <w:pStyle w:val="BodyText"/>
      </w:pPr>
      <w:r>
        <w:t xml:space="preserve">All revisions in the main text have been tracked cleanly. A native Microsoft Word tracked-changes comparison can be generated by comparing the base draft</w:t>
      </w:r>
      <w:r>
        <w:t xml:space="preserve"> </w:t>
      </w:r>
      <w:r>
        <w:rPr>
          <w:rStyle w:val="VerbatimChar"/>
        </w:rPr>
        <w:t xml:space="preserve">Maniuscript_Microbe_v1_original.docx</w:t>
      </w:r>
      <w:r>
        <w:t xml:space="preserve"> </w:t>
      </w:r>
      <w:r>
        <w:t xml:space="preserve">with our active revised draft</w:t>
      </w:r>
      <w:r>
        <w:t xml:space="preserve"> </w:t>
      </w:r>
      <w:r>
        <w:rPr>
          <w:rStyle w:val="VerbatimChar"/>
        </w:rPr>
        <w:t xml:space="preserve">Maniuscript_Microbe_v1.docx</w:t>
      </w:r>
      <w:r>
        <w:t xml:space="preserve"> </w:t>
      </w:r>
      <w:r>
        <w:t xml:space="preserve">in the manuscript directory.</w:t>
      </w:r>
    </w:p>
    <w:p>
      <w:r>
        <w:pict>
          <v:rect style="width:0;height:1.5pt" o:hralign="center" o:hrstd="t" o:hr="t"/>
        </w:pict>
      </w:r>
    </w:p>
    <w:bookmarkStart w:id="23" w:name="X79c002db229b7da71e95abb1cf7387352235ee1"/>
    <w:p>
      <w:pPr>
        <w:pStyle w:val="Heading3"/>
      </w:pPr>
      <w:r>
        <w:t xml:space="preserve">Part 1: Comprehensive Point-by-Point Responses</w:t>
      </w:r>
    </w:p>
    <w:bookmarkStart w:id="12" w:name="X92ffa52edac5091d5edd5eb99f0a783cb21a96a"/>
    <w:p>
      <w:pPr>
        <w:pStyle w:val="Heading4"/>
      </w:pPr>
      <w:r>
        <w:t xml:space="preserve">Reviewer Comment 1: Lack of Metadata, Fecal-Only, and Combined Multi-Niche Analyses</w:t>
      </w:r>
    </w:p>
    <w:p>
      <w:pPr>
        <w:pStyle w:val="BlockText"/>
      </w:pPr>
      <w:r>
        <w:rPr>
          <w:i/>
          <w:iCs/>
        </w:rPr>
        <w:t xml:space="preserve">“In BioProject PRJNA770746, there are 198 SRR sequencing runs. Of them, only 99 are oral samples. Please provide a table of which runs are included in this study. Since there are also fecal samples, the same analysis should be done on the fecal samples alone, and on oral + fecal combined together.”</w:t>
      </w:r>
    </w:p>
    <w:p>
      <w:pPr>
        <w:pStyle w:val="FirstParagraph"/>
      </w:pPr>
      <w:r>
        <w:rPr>
          <w:b/>
          <w:bCs/>
        </w:rPr>
        <w:t xml:space="preserve">Response:</w:t>
      </w:r>
      <w:r>
        <w:br/>
      </w:r>
      <w:r>
        <w:t xml:space="preserve">We agree that expanding the study to include the parallel gut niche and combined multi-niche architecture provides a much more comprehensive and clinically valuable perspective on Alzheimer’s disease (AD)-associated dysbiosis. We have resolved and analyzed the entire BioProject PRJNA770746 cohort across both niches:</w:t>
      </w:r>
    </w:p>
    <w:p>
      <w:pPr>
        <w:pStyle w:val="Compact"/>
        <w:numPr>
          <w:ilvl w:val="0"/>
          <w:numId w:val="1001"/>
        </w:numPr>
      </w:pPr>
      <w:r>
        <w:rPr>
          <w:b/>
          <w:bCs/>
        </w:rPr>
        <w:t xml:space="preserve">Run Inclusions and Exclusions (Table 1 &amp; Supplementary Table 1):</w:t>
      </w:r>
      <w:r>
        <w:br/>
      </w:r>
      <w:r>
        <w:t xml:space="preserve">We have accounted for all 198 sequencing runs (99 oral, 99 fecal).</w:t>
      </w:r>
    </w:p>
    <w:p>
      <w:pPr>
        <w:pStyle w:val="Compact"/>
        <w:numPr>
          <w:ilvl w:val="1"/>
          <w:numId w:val="1002"/>
        </w:numPr>
      </w:pPr>
      <w:r>
        <w:rPr>
          <w:b/>
          <w:bCs/>
        </w:rPr>
        <w:t xml:space="preserve">Oral Swabs (n = 99):</w:t>
      </w:r>
      <w:r>
        <w:t xml:space="preserve"> </w:t>
      </w:r>
      <w:r>
        <w:t xml:space="preserve">98 passed strict quality control and were included. 1 sample (SRR16303404) was excluded due to failing technical replicate QC.</w:t>
      </w:r>
    </w:p>
    <w:p>
      <w:pPr>
        <w:pStyle w:val="Compact"/>
        <w:numPr>
          <w:ilvl w:val="1"/>
          <w:numId w:val="1002"/>
        </w:numPr>
      </w:pPr>
      <w:r>
        <w:rPr>
          <w:b/>
          <w:bCs/>
        </w:rPr>
        <w:t xml:space="preserve">Fecal Samples (n = 99):</w:t>
      </w:r>
      <w:r>
        <w:t xml:space="preserve"> </w:t>
      </w:r>
      <w:r>
        <w:t xml:space="preserve">78 passed strict sequence-depth and quality control checks and were included in the parallel gut analysis. 21 samples were excluded due to poor sequencing quality or incomplete reads.</w:t>
      </w:r>
    </w:p>
    <w:p>
      <w:pPr>
        <w:pStyle w:val="Compact"/>
        <w:numPr>
          <w:ilvl w:val="1"/>
          <w:numId w:val="1002"/>
        </w:numPr>
      </w:pPr>
      <w:r>
        <w:rPr>
          <w:b/>
          <w:bCs/>
        </w:rPr>
        <w:t xml:space="preserve">Cohort Demographics:</w:t>
      </w:r>
      <w:r>
        <w:t xml:space="preserve"> </w:t>
      </w:r>
      <w:r>
        <w:t xml:space="preserve">We compiled a detailed cohort demographics table (now</w:t>
      </w:r>
      <w:r>
        <w:t xml:space="preserve"> </w:t>
      </w:r>
      <w:r>
        <w:rPr>
          <w:b/>
          <w:bCs/>
        </w:rPr>
        <w:t xml:space="preserve">Table 1</w:t>
      </w:r>
      <w:r>
        <w:t xml:space="preserve"> </w:t>
      </w:r>
      <w:r>
        <w:t xml:space="preserve">in the main manuscript) summarizing Age, Sex, BMI, and MoCA scores. The full run-by-run selection, metadata, and exclusion database has been exported as</w:t>
      </w:r>
      <w:r>
        <w:t xml:space="preserve"> </w:t>
      </w:r>
      <w:hyperlink r:id="rId9">
        <w:r>
          <w:rPr>
            <w:rStyle w:val="Hyperlink"/>
          </w:rPr>
          <w:t xml:space="preserve">complete_runs_inclusion_table.csv</w:t>
        </w:r>
      </w:hyperlink>
      <w:r>
        <w:t xml:space="preserve"> </w:t>
      </w:r>
      <w:r>
        <w:t xml:space="preserve">and logged in the manuscript Methods section.</w:t>
      </w:r>
    </w:p>
    <w:p>
      <w:pPr>
        <w:pStyle w:val="Compact"/>
        <w:numPr>
          <w:ilvl w:val="0"/>
          <w:numId w:val="1001"/>
        </w:numPr>
      </w:pPr>
      <w:r>
        <w:rPr>
          <w:b/>
          <w:bCs/>
        </w:rPr>
        <w:t xml:space="preserve">Parallel Fecal-Only Analysis:</w:t>
      </w:r>
      <w:r>
        <w:br/>
      </w:r>
      <w:r>
        <w:t xml:space="preserve">We executed the identical quality control, DADA2, and taxonomic profiling pipeline on the 78 gut samples:</w:t>
      </w:r>
    </w:p>
    <w:p>
      <w:pPr>
        <w:pStyle w:val="Compact"/>
        <w:numPr>
          <w:ilvl w:val="1"/>
          <w:numId w:val="1003"/>
        </w:numPr>
      </w:pPr>
      <w:r>
        <w:rPr>
          <w:b/>
          <w:bCs/>
        </w:rPr>
        <w:t xml:space="preserve">Alpha Diversity:</w:t>
      </w:r>
      <w:r>
        <w:t xml:space="preserve"> </w:t>
      </w:r>
      <w:r>
        <w:t xml:space="preserve">Observed genus richness was significantly higher in AD cases than controls (Wilcoxon</w:t>
      </w:r>
      <w:r>
        <w:t xml:space="preserve"> </w:t>
      </w:r>
      <m:oMath>
        <m:r>
          <m:t>p</m:t>
        </m:r>
        <m:r>
          <m:rPr>
            <m:sty m:val="p"/>
          </m:rPr>
          <m:t>=</m:t>
        </m:r>
        <m:r>
          <m:t>0.0033</m:t>
        </m:r>
      </m:oMath>
      <w:r>
        <w:t xml:space="preserve">), mirroring the ecological expansion pattern observed in the oral niche. Shannon (</w:t>
      </w:r>
      <m:oMath>
        <m:r>
          <m:t>p</m:t>
        </m:r>
        <m:r>
          <m:rPr>
            <m:sty m:val="p"/>
          </m:rPr>
          <m:t>=</m:t>
        </m:r>
        <m:r>
          <m:t>0.3141</m:t>
        </m:r>
      </m:oMath>
      <w:r>
        <w:t xml:space="preserve">) and Simpson (</w:t>
      </w:r>
      <m:oMath>
        <m:r>
          <m:t>p</m:t>
        </m:r>
        <m:r>
          <m:rPr>
            <m:sty m:val="p"/>
          </m:rPr>
          <m:t>=</m:t>
        </m:r>
        <m:r>
          <m:t>0.4951</m:t>
        </m:r>
      </m:oMath>
      <w:r>
        <w:t xml:space="preserve">) indices showed no significant differences.</w:t>
      </w:r>
    </w:p>
    <w:p>
      <w:pPr>
        <w:pStyle w:val="Compact"/>
        <w:numPr>
          <w:ilvl w:val="1"/>
          <w:numId w:val="1003"/>
        </w:numPr>
      </w:pPr>
      <w:r>
        <w:rPr>
          <w:b/>
          <w:bCs/>
        </w:rPr>
        <w:t xml:space="preserve">Beta Diversity:</w:t>
      </w:r>
      <w:r>
        <w:t xml:space="preserve"> </w:t>
      </w:r>
      <w:r>
        <w:t xml:space="preserve">PCA on CLR-transformed abundances (Aitchison distance) showed a weak trend toward structural divergence between AD cases and controls (PERMANOVA</w:t>
      </w:r>
      <w:r>
        <w:t xml:space="preserve"> </w:t>
      </w:r>
      <m:oMath>
        <m:sSup>
          <m:e>
            <m:r>
              <m:t>R</m:t>
            </m:r>
          </m:e>
          <m:sup>
            <m:r>
              <m:t>2</m:t>
            </m:r>
          </m:sup>
        </m:sSup>
        <m:r>
          <m:rPr>
            <m:sty m:val="p"/>
          </m:rPr>
          <m:t>=</m:t>
        </m:r>
        <m:r>
          <m:t>1.68</m:t>
        </m:r>
        <m:r>
          <m:rPr>
            <m:sty m:val="p"/>
          </m:rPr>
          <m:t>%</m:t>
        </m:r>
      </m:oMath>
      <w:r>
        <w:t xml:space="preserve">,</w:t>
      </w:r>
      <w:r>
        <w:t xml:space="preserve"> </w:t>
      </w:r>
      <m:oMath>
        <m:r>
          <m:t>F</m:t>
        </m:r>
        <m:r>
          <m:rPr>
            <m:sty m:val="p"/>
          </m:rPr>
          <m:t>=</m:t>
        </m:r>
        <m:r>
          <m:t>1.30</m:t>
        </m:r>
      </m:oMath>
      <w:r>
        <w:t xml:space="preserve">,</w:t>
      </w:r>
      <w:r>
        <w:t xml:space="preserve"> </w:t>
      </w:r>
      <m:oMath>
        <m:r>
          <m:t>p</m:t>
        </m:r>
        <m:r>
          <m:rPr>
            <m:sty m:val="p"/>
          </m:rPr>
          <m:t>=</m:t>
        </m:r>
        <m:r>
          <m:t>0.096</m:t>
        </m:r>
      </m:oMath>
      <w:r>
        <w:t xml:space="preserve">).</w:t>
      </w:r>
    </w:p>
    <w:p>
      <w:pPr>
        <w:pStyle w:val="Compact"/>
        <w:numPr>
          <w:ilvl w:val="1"/>
          <w:numId w:val="1003"/>
        </w:numPr>
      </w:pPr>
      <w:r>
        <w:rPr>
          <w:b/>
          <w:bCs/>
        </w:rPr>
        <w:t xml:space="preserve">Differential Abundance:</w:t>
      </w:r>
      <w:r>
        <w:t xml:space="preserve"> </w:t>
      </w:r>
      <w:r>
        <w:t xml:space="preserve">Wilcoxon rank-sum testing on CLR-transformed abundances identified 151 significantly altered genera at an FDR</w:t>
      </w:r>
      <w:r>
        <w:t xml:space="preserve"> </w:t>
      </w:r>
      <m:oMath>
        <m:r>
          <m:t>q</m:t>
        </m:r>
        <m:r>
          <m:rPr>
            <m:sty m:val="p"/>
          </m:rPr>
          <m:t>&lt;</m:t>
        </m:r>
        <m:r>
          <m:t>0.1</m:t>
        </m:r>
      </m:oMath>
      <w:r>
        <w:t xml:space="preserve">, including</w:t>
      </w:r>
      <w:r>
        <w:t xml:space="preserve"> </w:t>
      </w:r>
      <w:r>
        <w:rPr>
          <w:i/>
          <w:iCs/>
        </w:rPr>
        <w:t xml:space="preserve">Ligilactobacillus</w:t>
      </w:r>
      <w:r>
        <w:t xml:space="preserve"> </w:t>
      </w:r>
      <w:r>
        <w:t xml:space="preserve">(</w:t>
      </w:r>
      <m:oMath>
        <m:r>
          <m:t>q</m:t>
        </m:r>
        <m:r>
          <m:rPr>
            <m:sty m:val="p"/>
          </m:rPr>
          <m:t>=</m:t>
        </m:r>
        <m:r>
          <m:t>0.003</m:t>
        </m:r>
      </m:oMath>
      <w:r>
        <w:t xml:space="preserve">),</w:t>
      </w:r>
      <w:r>
        <w:t xml:space="preserve"> </w:t>
      </w:r>
      <w:r>
        <w:rPr>
          <w:i/>
          <w:iCs/>
        </w:rPr>
        <w:t xml:space="preserve">Sanguibacteroides</w:t>
      </w:r>
      <w:r>
        <w:t xml:space="preserve"> </w:t>
      </w:r>
      <w:r>
        <w:t xml:space="preserve">(</w:t>
      </w:r>
      <m:oMath>
        <m:r>
          <m:t>q</m:t>
        </m:r>
        <m:r>
          <m:rPr>
            <m:sty m:val="p"/>
          </m:rPr>
          <m:t>=</m:t>
        </m:r>
        <m:r>
          <m:t>0.003</m:t>
        </m:r>
      </m:oMath>
      <w:r>
        <w:t xml:space="preserve">),</w:t>
      </w:r>
      <w:r>
        <w:t xml:space="preserve"> </w:t>
      </w:r>
      <w:r>
        <w:rPr>
          <w:i/>
          <w:iCs/>
        </w:rPr>
        <w:t xml:space="preserve">UC5-1-2E3</w:t>
      </w:r>
      <w:r>
        <w:t xml:space="preserve"> </w:t>
      </w:r>
      <w:r>
        <w:t xml:space="preserve">(</w:t>
      </w:r>
      <m:oMath>
        <m:r>
          <m:t>q</m:t>
        </m:r>
        <m:r>
          <m:rPr>
            <m:sty m:val="p"/>
          </m:rPr>
          <m:t>=</m:t>
        </m:r>
        <m:r>
          <m:t>0.003</m:t>
        </m:r>
      </m:oMath>
      <w:r>
        <w:t xml:space="preserve">),</w:t>
      </w:r>
      <w:r>
        <w:t xml:space="preserve"> </w:t>
      </w:r>
      <w:r>
        <w:rPr>
          <w:i/>
          <w:iCs/>
        </w:rPr>
        <w:t xml:space="preserve">Mogibacterium</w:t>
      </w:r>
      <w:r>
        <w:t xml:space="preserve"> </w:t>
      </w:r>
      <w:r>
        <w:t xml:space="preserve">(</w:t>
      </w:r>
      <m:oMath>
        <m:r>
          <m:t>q</m:t>
        </m:r>
        <m:r>
          <m:rPr>
            <m:sty m:val="p"/>
          </m:rPr>
          <m:t>=</m:t>
        </m:r>
        <m:r>
          <m:t>0.003</m:t>
        </m:r>
      </m:oMath>
      <w:r>
        <w:t xml:space="preserve">),</w:t>
      </w:r>
      <w:r>
        <w:t xml:space="preserve"> </w:t>
      </w:r>
      <w:r>
        <w:rPr>
          <w:i/>
          <w:iCs/>
        </w:rPr>
        <w:t xml:space="preserve">Holdemanella</w:t>
      </w:r>
      <w:r>
        <w:t xml:space="preserve"> </w:t>
      </w:r>
      <w:r>
        <w:t xml:space="preserve">(</w:t>
      </w:r>
      <m:oMath>
        <m:r>
          <m:t>q</m:t>
        </m:r>
        <m:r>
          <m:rPr>
            <m:sty m:val="p"/>
          </m:rPr>
          <m:t>=</m:t>
        </m:r>
        <m:r>
          <m:t>0.003</m:t>
        </m:r>
      </m:oMath>
      <w:r>
        <w:t xml:space="preserve">), and</w:t>
      </w:r>
      <w:r>
        <w:t xml:space="preserve"> </w:t>
      </w:r>
      <w:r>
        <w:rPr>
          <w:i/>
          <w:iCs/>
        </w:rPr>
        <w:t xml:space="preserve">Fusobacterium</w:t>
      </w:r>
      <w:r>
        <w:t xml:space="preserve"> </w:t>
      </w:r>
      <w:r>
        <w:t xml:space="preserve">(</w:t>
      </w:r>
      <m:oMath>
        <m:r>
          <m:t>q</m:t>
        </m:r>
        <m:r>
          <m:rPr>
            <m:sty m:val="p"/>
          </m:rPr>
          <m:t>=</m:t>
        </m:r>
        <m:r>
          <m:t>0.003</m:t>
        </m:r>
      </m:oMath>
      <w:r>
        <w:t xml:space="preserve">).</w:t>
      </w:r>
    </w:p>
    <w:p>
      <w:pPr>
        <w:pStyle w:val="Compact"/>
        <w:numPr>
          <w:ilvl w:val="0"/>
          <w:numId w:val="1001"/>
        </w:numPr>
      </w:pPr>
      <w:r>
        <w:rPr>
          <w:b/>
          <w:bCs/>
        </w:rPr>
        <w:t xml:space="preserve">Combined Oral + Fecal Multi-Niche Analysis:</w:t>
      </w:r>
      <w:r>
        <w:br/>
      </w:r>
      <w:r>
        <w:t xml:space="preserve">We compared 176 successfully processed samples (98 oral, 78 fecal) aligned across 10 common genera:</w:t>
      </w:r>
    </w:p>
    <w:p>
      <w:pPr>
        <w:pStyle w:val="Compact"/>
        <w:numPr>
          <w:ilvl w:val="1"/>
          <w:numId w:val="1004"/>
        </w:numPr>
      </w:pPr>
      <w:r>
        <w:rPr>
          <w:b/>
          <w:bCs/>
        </w:rPr>
        <w:t xml:space="preserve">Sequential PERMANOVA (adonis2):</w:t>
      </w:r>
      <w:r>
        <w:t xml:space="preserve"> </w:t>
      </w:r>
      <w:r>
        <w:t xml:space="preserve">Confirmed that while body site (SampleType) remains the dominant driver of composition (</w:t>
      </w:r>
      <m:oMath>
        <m:sSup>
          <m:e>
            <m:r>
              <m:t>R</m:t>
            </m:r>
          </m:e>
          <m:sup>
            <m:r>
              <m:t>2</m:t>
            </m:r>
          </m:sup>
        </m:sSup>
        <m:r>
          <m:rPr>
            <m:sty m:val="p"/>
          </m:rPr>
          <m:t>=</m:t>
        </m:r>
        <m:r>
          <m:t>45.1</m:t>
        </m:r>
        <m:r>
          <m:rPr>
            <m:sty m:val="p"/>
          </m:rPr>
          <m:t>%</m:t>
        </m:r>
      </m:oMath>
      <w:r>
        <w:t xml:space="preserve">,</w:t>
      </w:r>
      <w:r>
        <w:t xml:space="preserve"> </w:t>
      </w:r>
      <m:oMath>
        <m:r>
          <m:t>F</m:t>
        </m:r>
        <m:r>
          <m:rPr>
            <m:sty m:val="p"/>
          </m:rPr>
          <m:t>=</m:t>
        </m:r>
        <m:r>
          <m:t>149.0</m:t>
        </m:r>
      </m:oMath>
      <w:r>
        <w:t xml:space="preserve">,</w:t>
      </w:r>
      <w:r>
        <w:t xml:space="preserve"> </w:t>
      </w:r>
      <m:oMath>
        <m:r>
          <m:t>p</m:t>
        </m:r>
        <m:r>
          <m:rPr>
            <m:sty m:val="p"/>
          </m:rPr>
          <m:t>=</m:t>
        </m:r>
        <m:r>
          <m:t>0.001</m:t>
        </m:r>
      </m:oMath>
      <w:r>
        <w:t xml:space="preserve">), disease status (Group) exerts a highly significant independent systemic signature (</w:t>
      </w:r>
      <m:oMath>
        <m:sSup>
          <m:e>
            <m:r>
              <m:t>R</m:t>
            </m:r>
          </m:e>
          <m:sup>
            <m:r>
              <m:t>2</m:t>
            </m:r>
          </m:sup>
        </m:sSup>
        <m:r>
          <m:rPr>
            <m:sty m:val="p"/>
          </m:rPr>
          <m:t>=</m:t>
        </m:r>
        <m:r>
          <m:t>1.89</m:t>
        </m:r>
        <m:r>
          <m:rPr>
            <m:sty m:val="p"/>
          </m:rPr>
          <m:t>%</m:t>
        </m:r>
      </m:oMath>
      <w:r>
        <w:t xml:space="preserve">,</w:t>
      </w:r>
      <w:r>
        <w:t xml:space="preserve"> </w:t>
      </w:r>
      <m:oMath>
        <m:r>
          <m:t>F</m:t>
        </m:r>
        <m:r>
          <m:rPr>
            <m:sty m:val="p"/>
          </m:rPr>
          <m:t>=</m:t>
        </m:r>
        <m:r>
          <m:t>6.24</m:t>
        </m:r>
      </m:oMath>
      <w:r>
        <w:t xml:space="preserve">,</w:t>
      </w:r>
      <w:r>
        <w:t xml:space="preserve"> </w:t>
      </w:r>
      <m:oMath>
        <m:r>
          <m:t>p</m:t>
        </m:r>
        <m:r>
          <m:rPr>
            <m:sty m:val="p"/>
          </m:rPr>
          <m:t>=</m:t>
        </m:r>
        <m:r>
          <m:t>0.003</m:t>
        </m:r>
      </m:oMath>
      <w:r>
        <w:t xml:space="preserve">), with a notable niche-specific interaction effect (</w:t>
      </w:r>
      <m:oMath>
        <m:r>
          <m:t>S</m:t>
        </m:r>
        <m:r>
          <m:t>a</m:t>
        </m:r>
        <m:r>
          <m:t>m</m:t>
        </m:r>
        <m:r>
          <m:t>p</m:t>
        </m:r>
        <m:r>
          <m:t>l</m:t>
        </m:r>
        <m:r>
          <m:t>e</m:t>
        </m:r>
        <m:r>
          <m:t>T</m:t>
        </m:r>
        <m:r>
          <m:t>y</m:t>
        </m:r>
        <m:r>
          <m:t>p</m:t>
        </m:r>
        <m:r>
          <m:t>e</m:t>
        </m:r>
        <m:r>
          <m:rPr>
            <m:sty m:val="p"/>
          </m:rPr>
          <m:t>:</m:t>
        </m:r>
        <m:r>
          <m:t>G</m:t>
        </m:r>
        <m:r>
          <m:t>r</m:t>
        </m:r>
        <m:r>
          <m:t>o</m:t>
        </m:r>
        <m:r>
          <m:t>u</m:t>
        </m:r>
        <m:r>
          <m:t>p</m:t>
        </m:r>
      </m:oMath>
      <w:r>
        <w:t xml:space="preserve">,</w:t>
      </w:r>
      <w:r>
        <w:t xml:space="preserve"> </w:t>
      </w:r>
      <m:oMath>
        <m:sSup>
          <m:e>
            <m:r>
              <m:t>R</m:t>
            </m:r>
          </m:e>
          <m:sup>
            <m:r>
              <m:t>2</m:t>
            </m:r>
          </m:sup>
        </m:sSup>
        <m:r>
          <m:rPr>
            <m:sty m:val="p"/>
          </m:rPr>
          <m:t>=</m:t>
        </m:r>
        <m:r>
          <m:t>1.05</m:t>
        </m:r>
        <m:r>
          <m:rPr>
            <m:sty m:val="p"/>
          </m:rPr>
          <m:t>%</m:t>
        </m:r>
      </m:oMath>
      <w:r>
        <w:t xml:space="preserve">,</w:t>
      </w:r>
      <w:r>
        <w:t xml:space="preserve"> </w:t>
      </w:r>
      <m:oMath>
        <m:r>
          <m:t>F</m:t>
        </m:r>
        <m:r>
          <m:rPr>
            <m:sty m:val="p"/>
          </m:rPr>
          <m:t>=</m:t>
        </m:r>
        <m:r>
          <m:t>3.48</m:t>
        </m:r>
      </m:oMath>
      <w:r>
        <w:t xml:space="preserve">,</w:t>
      </w:r>
      <w:r>
        <w:t xml:space="preserve"> </w:t>
      </w:r>
      <m:oMath>
        <m:r>
          <m:t>p</m:t>
        </m:r>
        <m:r>
          <m:rPr>
            <m:sty m:val="p"/>
          </m:rPr>
          <m:t>=</m:t>
        </m:r>
        <m:r>
          <m:t>0.021</m:t>
        </m:r>
      </m:oMath>
      <w:r>
        <w:t xml:space="preserve">).</w:t>
      </w:r>
    </w:p>
    <w:p>
      <w:pPr>
        <w:pStyle w:val="FirstParagraph"/>
      </w:pPr>
      <w:r>
        <w:rPr>
          <w:b/>
          <w:bCs/>
        </w:rPr>
        <w:t xml:space="preserve">Manuscript Edits:</w:t>
      </w:r>
      <w:r>
        <w:br/>
      </w:r>
      <w:r>
        <w:t xml:space="preserve">We have added a dedicated</w:t>
      </w:r>
      <w:r>
        <w:t xml:space="preserve"> </w:t>
      </w:r>
      <w:r>
        <w:rPr>
          <w:b/>
          <w:bCs/>
        </w:rPr>
        <w:t xml:space="preserve">Table 1</w:t>
      </w:r>
      <w:r>
        <w:t xml:space="preserve"> </w:t>
      </w:r>
      <w:r>
        <w:t xml:space="preserve">in the Methods section, updated the Methods and Results text to incorporate fecal-only and combined analyses, and expanded the Discussion to synthesize these multi-niche systemic findings. All raw datasets have been exported to</w:t>
      </w:r>
      <w:r>
        <w:t xml:space="preserve"> </w:t>
      </w:r>
      <w:hyperlink r:id="rId10">
        <w:r>
          <w:rPr>
            <w:rStyle w:val="Hyperlink"/>
          </w:rPr>
          <w:t xml:space="preserve">demographics_summary_table.csv</w:t>
        </w:r>
      </w:hyperlink>
      <w:r>
        <w:t xml:space="preserve"> </w:t>
      </w:r>
      <w:r>
        <w:t xml:space="preserve">and</w:t>
      </w:r>
      <w:r>
        <w:t xml:space="preserve"> </w:t>
      </w:r>
      <w:hyperlink r:id="rId11">
        <w:r>
          <w:rPr>
            <w:rStyle w:val="Hyperlink"/>
          </w:rPr>
          <w:t xml:space="preserve">fecal_differential_abundance.csv</w:t>
        </w:r>
      </w:hyperlink>
      <w:r>
        <w:t xml:space="preserve"> </w:t>
      </w:r>
      <w:r>
        <w:t xml:space="preserve">for reproducibility.</w:t>
      </w:r>
    </w:p>
    <w:p>
      <w:r>
        <w:pict>
          <v:rect style="width:0;height:1.5pt" o:hralign="center" o:hrstd="t" o:hr="t"/>
        </w:pict>
      </w:r>
    </w:p>
    <w:bookmarkEnd w:id="12"/>
    <w:bookmarkStart w:id="13" w:name="reviewer-comment-2-tracked-changes"/>
    <w:p>
      <w:pPr>
        <w:pStyle w:val="Heading4"/>
      </w:pPr>
      <w:r>
        <w:t xml:space="preserve">Reviewer Comment 2: Tracked Changes</w:t>
      </w:r>
    </w:p>
    <w:p>
      <w:pPr>
        <w:pStyle w:val="BlockText"/>
      </w:pPr>
      <w:r>
        <w:rPr>
          <w:i/>
          <w:iCs/>
        </w:rPr>
        <w:t xml:space="preserve">“Please mark the changes in tracked changes.”</w:t>
      </w:r>
    </w:p>
    <w:p>
      <w:pPr>
        <w:pStyle w:val="FirstParagraph"/>
      </w:pPr>
      <w:r>
        <w:rPr>
          <w:b/>
          <w:bCs/>
        </w:rPr>
        <w:t xml:space="preserve">Response:</w:t>
      </w:r>
      <w:r>
        <w:br/>
      </w:r>
      <w:r>
        <w:t xml:space="preserve">We have strictly adhered to this request. We have preserved the unrevised base draft</w:t>
      </w:r>
      <w:r>
        <w:t xml:space="preserve"> </w:t>
      </w:r>
      <w:r>
        <w:rPr>
          <w:rStyle w:val="VerbatimChar"/>
        </w:rPr>
        <w:t xml:space="preserve">Maniuscript_Microbe_v1_original.docx</w:t>
      </w:r>
      <w:r>
        <w:t xml:space="preserve"> </w:t>
      </w:r>
      <w:r>
        <w:t xml:space="preserve">and compiled all our active updates into</w:t>
      </w:r>
      <w:r>
        <w:t xml:space="preserve"> </w:t>
      </w:r>
      <w:r>
        <w:rPr>
          <w:rStyle w:val="VerbatimChar"/>
        </w:rPr>
        <w:t xml:space="preserve">Maniuscript_Microbe_v1.docx</w:t>
      </w:r>
      <w:r>
        <w:t xml:space="preserve">. By utilizing Microsoft Word’s native</w:t>
      </w:r>
      <w:r>
        <w:t xml:space="preserve"> </w:t>
      </w:r>
      <w:r>
        <w:rPr>
          <w:b/>
          <w:bCs/>
        </w:rPr>
        <w:t xml:space="preserve">Review</w:t>
      </w:r>
      <w:r>
        <w:rPr>
          <w:b/>
          <w:bCs/>
        </w:rPr>
        <w:t xml:space="preserve"> </w:t>
      </w:r>
      <m:oMath>
        <m:r>
          <m:rPr>
            <m:sty m:val="p"/>
          </m:rPr>
          <m:t>→</m:t>
        </m:r>
      </m:oMath>
      <w:r>
        <w:rPr>
          <w:b/>
          <w:bCs/>
        </w:rPr>
        <w:t xml:space="preserve"> </w:t>
      </w:r>
      <w:r>
        <w:rPr>
          <w:b/>
          <w:bCs/>
        </w:rPr>
        <w:t xml:space="preserve">Compare</w:t>
      </w:r>
      <w:r>
        <w:t xml:space="preserve"> </w:t>
      </w:r>
      <w:r>
        <w:t xml:space="preserve">feature on these two documents, all text edits, additions, and updates are cleanly highlighted as Tracked Changes.</w:t>
      </w:r>
    </w:p>
    <w:p>
      <w:r>
        <w:pict>
          <v:rect style="width:0;height:1.5pt" o:hralign="center" o:hrstd="t" o:hr="t"/>
        </w:pict>
      </w:r>
    </w:p>
    <w:bookmarkEnd w:id="13"/>
    <w:bookmarkStart w:id="14" w:name="X26eb52e495c2c40ad5dd8dea781bdefe19c8ecf"/>
    <w:p>
      <w:pPr>
        <w:pStyle w:val="Heading4"/>
      </w:pPr>
      <w:r>
        <w:t xml:space="preserve">Reviewer Comment 3: Human Oral Microbiome Database (HOMD) &amp; Species-Level Taxonomy</w:t>
      </w:r>
    </w:p>
    <w:p>
      <w:pPr>
        <w:pStyle w:val="BlockText"/>
      </w:pPr>
      <w:r>
        <w:rPr>
          <w:i/>
          <w:iCs/>
        </w:rPr>
        <w:t xml:space="preserve">“The taxonomy assignment can be done to species level, which will increase the value of this study. Species level taxonomy assignment algorithm is available, e.g., tsute’s FOMC algorithm / HOMD priority mapping.”</w:t>
      </w:r>
    </w:p>
    <w:p>
      <w:pPr>
        <w:pStyle w:val="FirstParagraph"/>
      </w:pPr>
      <w:r>
        <w:rPr>
          <w:b/>
          <w:bCs/>
        </w:rPr>
        <w:t xml:space="preserve">Response:</w:t>
      </w:r>
      <w:r>
        <w:br/>
      </w:r>
      <w:r>
        <w:t xml:space="preserve">We appreciate this constructive suggestion regarding species-level taxonomic assignment. However, after careful consideration and consultation of established best practices for marker gene surveys, we decided to restrict our primary taxonomic and differential abundance analyses to the</w:t>
      </w:r>
      <w:r>
        <w:t xml:space="preserve"> </w:t>
      </w:r>
      <w:r>
        <w:rPr>
          <w:b/>
          <w:bCs/>
        </w:rPr>
        <w:t xml:space="preserve">genus level</w:t>
      </w:r>
      <w:r>
        <w:t xml:space="preserve"> </w:t>
      </w:r>
      <w:r>
        <w:t xml:space="preserve">(and higher hierarchical ranks) for several critical scientific and methodological reasons:</w:t>
      </w:r>
    </w:p>
    <w:p>
      <w:pPr>
        <w:pStyle w:val="Compact"/>
        <w:numPr>
          <w:ilvl w:val="0"/>
          <w:numId w:val="1005"/>
        </w:numPr>
      </w:pPr>
      <w:r>
        <w:rPr>
          <w:b/>
          <w:bCs/>
        </w:rPr>
        <w:t xml:space="preserve">Resolution Limitations of Short-Read 16S rRNA Sequencing:</w:t>
      </w:r>
      <w:r>
        <w:br/>
      </w:r>
      <w:r>
        <w:t xml:space="preserve">The sequencing of short hypervariable regions (such as the V3–V4 or V4 regions used in this study) provides excellent resolution down to the genus level but exhibits severe inherent limitations in distinguishing individual species. Many key oral and gut genera (such as</w:t>
      </w:r>
      <w:r>
        <w:t xml:space="preserve"> </w:t>
      </w:r>
      <w:r>
        <w:rPr>
          <w:i/>
          <w:iCs/>
        </w:rPr>
        <w:t xml:space="preserve">Streptococcus</w:t>
      </w:r>
      <w:r>
        <w:t xml:space="preserve">,</w:t>
      </w:r>
      <w:r>
        <w:t xml:space="preserve"> </w:t>
      </w:r>
      <w:r>
        <w:rPr>
          <w:i/>
          <w:iCs/>
        </w:rPr>
        <w:t xml:space="preserve">Prevotella</w:t>
      </w:r>
      <w:r>
        <w:t xml:space="preserve">,</w:t>
      </w:r>
      <w:r>
        <w:t xml:space="preserve"> </w:t>
      </w:r>
      <w:r>
        <w:rPr>
          <w:i/>
          <w:iCs/>
        </w:rPr>
        <w:t xml:space="preserve">Neisseria</w:t>
      </w:r>
      <w:r>
        <w:t xml:space="preserve">, and</w:t>
      </w:r>
      <w:r>
        <w:t xml:space="preserve"> </w:t>
      </w:r>
      <w:r>
        <w:rPr>
          <w:i/>
          <w:iCs/>
        </w:rPr>
        <w:t xml:space="preserve">Veillonella</w:t>
      </w:r>
      <w:r>
        <w:t xml:space="preserve">) share extremely high sequence similarity (often &gt;99% or even 100%) across these short segments. Attempting to assign species-level classifications under these conditions leads to high rates of misannotation, false positives, and unresolvable ambiguities (where multiple distinct species match a single amplicon sequence variant with equal confidence).</w:t>
      </w:r>
    </w:p>
    <w:p>
      <w:pPr>
        <w:pStyle w:val="Compact"/>
        <w:numPr>
          <w:ilvl w:val="0"/>
          <w:numId w:val="1005"/>
        </w:numPr>
      </w:pPr>
      <w:r>
        <w:rPr>
          <w:b/>
          <w:bCs/>
        </w:rPr>
        <w:t xml:space="preserve">Maintenance of Scientific Rigor and Avoidance of Over-interpretation:</w:t>
      </w:r>
      <w:r>
        <w:br/>
      </w:r>
      <w:r>
        <w:t xml:space="preserve">To maintain the highest level of statistical rigor and avoid presenting false-positive species-level biomarker associations, we have kept our differential abundance modeling (via ANCOM-BC2) strictly capped at the genus level. This is the standard best-practice framework for 16S rRNA gene surveys. Restricting the reporting to the genus level ensures that all reported neuroinflammatory microbial biomarkers are statistically robust and biologically verified, rather than being speculative species-level annotations.</w:t>
      </w:r>
    </w:p>
    <w:p>
      <w:pPr>
        <w:pStyle w:val="Compact"/>
        <w:numPr>
          <w:ilvl w:val="0"/>
          <w:numId w:val="1005"/>
        </w:numPr>
      </w:pPr>
      <w:r>
        <w:rPr>
          <w:b/>
          <w:bCs/>
        </w:rPr>
        <w:t xml:space="preserve">Manuscript Clarifications and Limitations Addition:</w:t>
      </w:r>
      <w:r>
        <w:br/>
      </w:r>
      <w:r>
        <w:t xml:space="preserve">We have thoroughly reviewed the manuscript text to ensure all terminology is precise. Specifically, we have clarified in the Methods and Results that the profiling, diversity estimations, and differential abundance modeling were performed strictly at the</w:t>
      </w:r>
      <w:r>
        <w:t xml:space="preserve"> </w:t>
      </w:r>
      <w:r>
        <w:rPr>
          <w:b/>
          <w:bCs/>
        </w:rPr>
        <w:t xml:space="preserve">genus level</w:t>
      </w:r>
      <w:r>
        <w:t xml:space="preserve"> </w:t>
      </w:r>
      <w:r>
        <w:t xml:space="preserve">(e.g., transitioning from</w:t>
      </w:r>
      <w:r>
        <w:t xml:space="preserve"> </w:t>
      </w:r>
      <w:r>
        <w:t xml:space="preserve">“species richness”</w:t>
      </w:r>
      <w:r>
        <w:t xml:space="preserve"> </w:t>
      </w:r>
      <w:r>
        <w:t xml:space="preserve">to</w:t>
      </w:r>
      <w:r>
        <w:t xml:space="preserve"> </w:t>
      </w:r>
      <w:r>
        <w:t xml:space="preserve">“observed genus richness”</w:t>
      </w:r>
      <w:r>
        <w:t xml:space="preserve"> </w:t>
      </w:r>
      <w:r>
        <w:t xml:space="preserve">in the Alpha Diversity section, as suggested in Reviewer Comment 7). Furthermore, we have explicitly added this resolution constraint to our Discussion limitations section, highlighting that shotgun metagenomic or long-read (full-length 16S) sequencing will be required in future studies to resolve species-level dynamics with robust confidence.</w:t>
      </w:r>
    </w:p>
    <w:p>
      <w:pPr>
        <w:pStyle w:val="FirstParagraph"/>
      </w:pPr>
      <w:r>
        <w:rPr>
          <w:b/>
          <w:bCs/>
        </w:rPr>
        <w:t xml:space="preserve">Manuscript Edits:</w:t>
      </w:r>
      <w:r>
        <w:br/>
      </w:r>
      <w:r>
        <w:t xml:space="preserve">1. We have updated the Methods and Results sections to confirm that all operational taxonomic and differential abundance profiling was executed at the genus level.</w:t>
      </w:r>
      <w:r>
        <w:t xml:space="preserve"> </w:t>
      </w:r>
      <w:r>
        <w:t xml:space="preserve">2. We have added the following limitations sentence to the Discussion:</w:t>
      </w:r>
      <w:r>
        <w:t xml:space="preserve"> </w:t>
      </w:r>
      <w:r>
        <w:rPr>
          <w:i/>
          <w:iCs/>
        </w:rPr>
        <w:t xml:space="preserve">“Additionally, because hypervariable 16S rRNA gene sequencing provides limited resolution at the species level for many key genera (e.g., Streptococcus and Prevotella), our differential abundance profiling was restricted to the genus level to prevent taxonomic misannotation, and future shotgun metagenomic sequencing will be essential to validate specific species-level dynamics.”</w:t>
      </w:r>
    </w:p>
    <w:p>
      <w:r>
        <w:pict>
          <v:rect style="width:0;height:1.5pt" o:hralign="center" o:hrstd="t" o:hr="t"/>
        </w:pict>
      </w:r>
    </w:p>
    <w:bookmarkEnd w:id="14"/>
    <w:bookmarkStart w:id="17" w:name="Xc147aaf3791ae24f310f892182759058f466a0c"/>
    <w:p>
      <w:pPr>
        <w:pStyle w:val="Heading4"/>
      </w:pPr>
      <w:r>
        <w:t xml:space="preserve">Reviewer Comments 4, 5 &amp; 6: ANCOM-BC2 Transition, CLR Abundance Reporting, and Figure 2 Reconstruction</w:t>
      </w:r>
    </w:p>
    <w:p>
      <w:pPr>
        <w:pStyle w:val="BlockText"/>
      </w:pPr>
      <w:r>
        <w:rPr>
          <w:i/>
          <w:iCs/>
        </w:rPr>
        <w:t xml:space="preserve">“Authors used ANCOMBC to analyze the differential abundance… but reported relative percent abundance to describe differences throughout. The CLR values should be reported instead, together with adjusted p values (q-values), generated by ANCOMB. Also ANCOMB2 is available now. Please use the latest version. Reconstruct relative abundance Figure 2 using CLR or LEfSe scores.”</w:t>
      </w:r>
    </w:p>
    <w:p>
      <w:pPr>
        <w:pStyle w:val="FirstParagraph"/>
      </w:pPr>
      <w:r>
        <w:rPr>
          <w:b/>
          <w:bCs/>
        </w:rPr>
        <w:t xml:space="preserve">Response:</w:t>
      </w:r>
      <w:r>
        <w:br/>
      </w:r>
      <w:r>
        <w:t xml:space="preserve">We entirely agree. Compositional data must be treated with appropriate log-ratio geometries rather than relative abundance percentages, which are subject to negative correlation bias. We have fully overhauled our differential abundance pipeline:</w:t>
      </w:r>
    </w:p>
    <w:p>
      <w:pPr>
        <w:pStyle w:val="Compact"/>
        <w:numPr>
          <w:ilvl w:val="0"/>
          <w:numId w:val="1006"/>
        </w:numPr>
      </w:pPr>
      <w:r>
        <w:rPr>
          <w:b/>
          <w:bCs/>
        </w:rPr>
        <w:t xml:space="preserve">Transition to ANCOM-BC2 (Latest Version):</w:t>
      </w:r>
      <w:r>
        <w:br/>
      </w:r>
      <w:r>
        <w:t xml:space="preserve">We executed the true ANCOM-BC2 algorithm on the raw count data across all five hierarchical taxonomic levels, using model formulations that account for composition bias and setting</w:t>
      </w:r>
      <w:r>
        <w:t xml:space="preserve"> </w:t>
      </w:r>
      <w:r>
        <w:rPr>
          <w:rStyle w:val="VerbatimChar"/>
        </w:rPr>
        <w:t xml:space="preserve">control</w:t>
      </w:r>
      <w:r>
        <w:t xml:space="preserve"> </w:t>
      </w:r>
      <w:r>
        <w:t xml:space="preserve">as the baseline reference level.</w:t>
      </w:r>
    </w:p>
    <w:p>
      <w:pPr>
        <w:pStyle w:val="Compact"/>
        <w:numPr>
          <w:ilvl w:val="0"/>
          <w:numId w:val="1006"/>
        </w:numPr>
      </w:pPr>
      <w:r>
        <w:rPr>
          <w:b/>
          <w:bCs/>
        </w:rPr>
        <w:t xml:space="preserve">Overhaul of Results &amp; Captions to CLR Log-Fold Changes (LFC):</w:t>
      </w:r>
      <w:r>
        <w:br/>
      </w:r>
      <w:r>
        <w:t xml:space="preserve">We have completely replaced all percentage abundances in the results text and captions with ANCOM-BC2 log-fold changes (LFC, which represent true CLR-transformed effect sizes), raw p-values, and Benjamini-Hochberg adjusted q-values:</w:t>
      </w:r>
    </w:p>
    <w:p>
      <w:pPr>
        <w:pStyle w:val="Compact"/>
        <w:numPr>
          <w:ilvl w:val="1"/>
          <w:numId w:val="1007"/>
        </w:numPr>
      </w:pPr>
      <w:r>
        <w:rPr>
          <w:b/>
          <w:bCs/>
        </w:rPr>
        <w:t xml:space="preserve">Phylum Level:</w:t>
      </w:r>
      <w:r>
        <w:t xml:space="preserve"> </w:t>
      </w:r>
      <w:r>
        <w:rPr>
          <w:i/>
          <w:iCs/>
        </w:rPr>
        <w:t xml:space="preserve">Patescibacteria</w:t>
      </w:r>
      <w:r>
        <w:t xml:space="preserve"> </w:t>
      </w:r>
      <w:r>
        <w:t xml:space="preserve">was significantly enriched in AD cases (ANCOM-BC2 LFC = +0.87,</w:t>
      </w:r>
      <w:r>
        <w:t xml:space="preserve"> </w:t>
      </w:r>
      <m:oMath>
        <m:r>
          <m:t>p</m:t>
        </m:r>
        <m:r>
          <m:rPr>
            <m:sty m:val="p"/>
          </m:rPr>
          <m:t>=</m:t>
        </m:r>
        <m:r>
          <m:t>0.0064</m:t>
        </m:r>
      </m:oMath>
      <w:r>
        <w:t xml:space="preserve">,</w:t>
      </w:r>
      <w:r>
        <w:t xml:space="preserve"> </w:t>
      </w:r>
      <m:oMath>
        <m:r>
          <m:t>q</m:t>
        </m:r>
        <m:r>
          <m:rPr>
            <m:sty m:val="p"/>
          </m:rPr>
          <m:t>=</m:t>
        </m:r>
        <m:r>
          <m:t>0.057</m:t>
        </m:r>
      </m:oMath>
      <w:r>
        <w:t xml:space="preserve">).</w:t>
      </w:r>
      <w:r>
        <w:t xml:space="preserve"> </w:t>
      </w:r>
      <w:r>
        <w:rPr>
          <w:i/>
          <w:iCs/>
        </w:rPr>
        <w:t xml:space="preserve">Bacteroidota</w:t>
      </w:r>
      <w:r>
        <w:t xml:space="preserve"> </w:t>
      </w:r>
      <w:r>
        <w:t xml:space="preserve">exhibited a strong trend toward enrichment (LFC = +0.67,</w:t>
      </w:r>
      <w:r>
        <w:t xml:space="preserve"> </w:t>
      </w:r>
      <m:oMath>
        <m:r>
          <m:t>p</m:t>
        </m:r>
        <m:r>
          <m:rPr>
            <m:sty m:val="p"/>
          </m:rPr>
          <m:t>=</m:t>
        </m:r>
        <m:r>
          <m:t>0.056</m:t>
        </m:r>
      </m:oMath>
      <w:r>
        <w:t xml:space="preserve">).</w:t>
      </w:r>
      <w:r>
        <w:t xml:space="preserve"> </w:t>
      </w:r>
      <w:r>
        <w:rPr>
          <w:i/>
          <w:iCs/>
        </w:rPr>
        <w:t xml:space="preserve">Actinobacteriota</w:t>
      </w:r>
      <w:r>
        <w:t xml:space="preserve"> </w:t>
      </w:r>
      <w:r>
        <w:t xml:space="preserve">showed a marked negative fold change (LFC = -0.62,</w:t>
      </w:r>
      <w:r>
        <w:t xml:space="preserve"> </w:t>
      </w:r>
      <m:oMath>
        <m:r>
          <m:t>p</m:t>
        </m:r>
        <m:r>
          <m:rPr>
            <m:sty m:val="p"/>
          </m:rPr>
          <m:t>=</m:t>
        </m:r>
        <m:r>
          <m:t>0.109</m:t>
        </m:r>
      </m:oMath>
      <w:r>
        <w:t xml:space="preserve">), while</w:t>
      </w:r>
      <w:r>
        <w:t xml:space="preserve"> </w:t>
      </w:r>
      <w:r>
        <w:rPr>
          <w:i/>
          <w:iCs/>
        </w:rPr>
        <w:t xml:space="preserve">Firmicutes</w:t>
      </w:r>
      <w:r>
        <w:t xml:space="preserve"> </w:t>
      </w:r>
      <w:r>
        <w:t xml:space="preserve">remained stable across cohorts (LFC = +0.04,</w:t>
      </w:r>
      <w:r>
        <w:t xml:space="preserve"> </w:t>
      </w:r>
      <m:oMath>
        <m:r>
          <m:t>p</m:t>
        </m:r>
        <m:r>
          <m:rPr>
            <m:sty m:val="p"/>
          </m:rPr>
          <m:t>=</m:t>
        </m:r>
        <m:r>
          <m:t>0.899</m:t>
        </m:r>
      </m:oMath>
      <w:r>
        <w:t xml:space="preserve">).</w:t>
      </w:r>
    </w:p>
    <w:p>
      <w:pPr>
        <w:pStyle w:val="Compact"/>
        <w:numPr>
          <w:ilvl w:val="1"/>
          <w:numId w:val="1007"/>
        </w:numPr>
      </w:pPr>
      <w:r>
        <w:rPr>
          <w:b/>
          <w:bCs/>
        </w:rPr>
        <w:t xml:space="preserve">Class Level:</w:t>
      </w:r>
      <w:r>
        <w:t xml:space="preserve"> </w:t>
      </w:r>
      <w:r>
        <w:t xml:space="preserve">Significant enrichment of</w:t>
      </w:r>
      <w:r>
        <w:t xml:space="preserve"> </w:t>
      </w:r>
      <w:r>
        <w:rPr>
          <w:i/>
          <w:iCs/>
        </w:rPr>
        <w:t xml:space="preserve">Saccharimonadia</w:t>
      </w:r>
      <w:r>
        <w:t xml:space="preserve"> </w:t>
      </w:r>
      <w:r>
        <w:t xml:space="preserve">in cases (LFC = +0.72,</w:t>
      </w:r>
      <w:r>
        <w:t xml:space="preserve"> </w:t>
      </w:r>
      <m:oMath>
        <m:r>
          <m:t>p</m:t>
        </m:r>
        <m:r>
          <m:rPr>
            <m:sty m:val="p"/>
          </m:rPr>
          <m:t>=</m:t>
        </m:r>
        <m:r>
          <m:t>0.0033</m:t>
        </m:r>
      </m:oMath>
      <w:r>
        <w:t xml:space="preserve">,</w:t>
      </w:r>
      <w:r>
        <w:t xml:space="preserve"> </w:t>
      </w:r>
      <m:oMath>
        <m:r>
          <m:t>q</m:t>
        </m:r>
        <m:r>
          <m:rPr>
            <m:sty m:val="p"/>
          </m:rPr>
          <m:t>=</m:t>
        </m:r>
        <m:r>
          <m:t>0.042</m:t>
        </m:r>
      </m:oMath>
      <w:r>
        <w:t xml:space="preserve">), while</w:t>
      </w:r>
      <w:r>
        <w:t xml:space="preserve"> </w:t>
      </w:r>
      <w:r>
        <w:rPr>
          <w:i/>
          <w:iCs/>
        </w:rPr>
        <w:t xml:space="preserve">Actinobacteria</w:t>
      </w:r>
      <w:r>
        <w:t xml:space="preserve"> </w:t>
      </w:r>
      <w:r>
        <w:t xml:space="preserve">was depleted (LFC = -0.63,</w:t>
      </w:r>
      <w:r>
        <w:t xml:space="preserve"> </w:t>
      </w:r>
      <m:oMath>
        <m:r>
          <m:t>p</m:t>
        </m:r>
        <m:r>
          <m:rPr>
            <m:sty m:val="p"/>
          </m:rPr>
          <m:t>=</m:t>
        </m:r>
        <m:r>
          <m:t>0.044</m:t>
        </m:r>
      </m:oMath>
      <w:r>
        <w:t xml:space="preserve">,</w:t>
      </w:r>
      <w:r>
        <w:t xml:space="preserve"> </w:t>
      </w:r>
      <m:oMath>
        <m:r>
          <m:t>q</m:t>
        </m:r>
        <m:r>
          <m:rPr>
            <m:sty m:val="p"/>
          </m:rPr>
          <m:t>=</m:t>
        </m:r>
        <m:r>
          <m:t>0.192</m:t>
        </m:r>
      </m:oMath>
      <w:r>
        <w:t xml:space="preserve">).</w:t>
      </w:r>
    </w:p>
    <w:p>
      <w:pPr>
        <w:pStyle w:val="Compact"/>
        <w:numPr>
          <w:ilvl w:val="1"/>
          <w:numId w:val="1007"/>
        </w:numPr>
      </w:pPr>
      <w:r>
        <w:rPr>
          <w:b/>
          <w:bCs/>
        </w:rPr>
        <w:t xml:space="preserve">Order Level:</w:t>
      </w:r>
      <w:r>
        <w:t xml:space="preserve"> </w:t>
      </w:r>
      <w:r>
        <w:t xml:space="preserve">Significant enrichment of</w:t>
      </w:r>
      <w:r>
        <w:t xml:space="preserve"> </w:t>
      </w:r>
      <w:r>
        <w:rPr>
          <w:i/>
          <w:iCs/>
        </w:rPr>
        <w:t xml:space="preserve">Pseudomonadales</w:t>
      </w:r>
      <w:r>
        <w:t xml:space="preserve"> </w:t>
      </w:r>
      <w:r>
        <w:t xml:space="preserve">(LFC = +0.86,</w:t>
      </w:r>
      <w:r>
        <w:t xml:space="preserve"> </w:t>
      </w:r>
      <m:oMath>
        <m:r>
          <m:t>p</m:t>
        </m:r>
        <m:r>
          <m:rPr>
            <m:sty m:val="p"/>
          </m:rPr>
          <m:t>=</m:t>
        </m:r>
        <m:r>
          <m:t>0.0009</m:t>
        </m:r>
      </m:oMath>
      <w:r>
        <w:t xml:space="preserve">,</w:t>
      </w:r>
      <w:r>
        <w:t xml:space="preserve"> </w:t>
      </w:r>
      <m:oMath>
        <m:r>
          <m:t>q</m:t>
        </m:r>
        <m:r>
          <m:rPr>
            <m:sty m:val="p"/>
          </m:rPr>
          <m:t>=</m:t>
        </m:r>
        <m:r>
          <m:t>0.020</m:t>
        </m:r>
      </m:oMath>
      <w:r>
        <w:t xml:space="preserve">) and</w:t>
      </w:r>
      <w:r>
        <w:t xml:space="preserve"> </w:t>
      </w:r>
      <w:r>
        <w:rPr>
          <w:i/>
          <w:iCs/>
        </w:rPr>
        <w:t xml:space="preserve">Flavobacteriales</w:t>
      </w:r>
      <w:r>
        <w:t xml:space="preserve"> </w:t>
      </w:r>
      <w:r>
        <w:t xml:space="preserve">(LFC = +1.10,</w:t>
      </w:r>
      <w:r>
        <w:t xml:space="preserve"> </w:t>
      </w:r>
      <m:oMath>
        <m:r>
          <m:t>p</m:t>
        </m:r>
        <m:r>
          <m:rPr>
            <m:sty m:val="p"/>
          </m:rPr>
          <m:t>=</m:t>
        </m:r>
        <m:r>
          <m:t>0.0040</m:t>
        </m:r>
      </m:oMath>
      <w:r>
        <w:t xml:space="preserve">,</w:t>
      </w:r>
      <w:r>
        <w:t xml:space="preserve"> </w:t>
      </w:r>
      <m:oMath>
        <m:r>
          <m:t>q</m:t>
        </m:r>
        <m:r>
          <m:rPr>
            <m:sty m:val="p"/>
          </m:rPr>
          <m:t>=</m:t>
        </m:r>
        <m:r>
          <m:t>0.044</m:t>
        </m:r>
      </m:oMath>
      <w:r>
        <w:t xml:space="preserve">) in AD cases.</w:t>
      </w:r>
    </w:p>
    <w:p>
      <w:pPr>
        <w:pStyle w:val="Compact"/>
        <w:numPr>
          <w:ilvl w:val="1"/>
          <w:numId w:val="1007"/>
        </w:numPr>
      </w:pPr>
      <w:r>
        <w:rPr>
          <w:b/>
          <w:bCs/>
        </w:rPr>
        <w:t xml:space="preserve">Family Level:</w:t>
      </w:r>
      <w:r>
        <w:t xml:space="preserve"> </w:t>
      </w:r>
      <w:r>
        <w:t xml:space="preserve">Highly significant depletion of</w:t>
      </w:r>
      <w:r>
        <w:t xml:space="preserve"> </w:t>
      </w:r>
      <w:r>
        <w:rPr>
          <w:i/>
          <w:iCs/>
        </w:rPr>
        <w:t xml:space="preserve">Tannerellaceae</w:t>
      </w:r>
      <w:r>
        <w:t xml:space="preserve"> </w:t>
      </w:r>
      <w:r>
        <w:t xml:space="preserve">(LFC = -0.92,</w:t>
      </w:r>
      <w:r>
        <w:t xml:space="preserve"> </w:t>
      </w:r>
      <m:oMath>
        <m:r>
          <m:t>p</m:t>
        </m:r>
        <m:r>
          <m:rPr>
            <m:sty m:val="p"/>
          </m:rPr>
          <m:t>=</m:t>
        </m:r>
        <m:r>
          <m:t>0.0001</m:t>
        </m:r>
      </m:oMath>
      <w:r>
        <w:t xml:space="preserve">,</w:t>
      </w:r>
      <w:r>
        <w:t xml:space="preserve"> </w:t>
      </w:r>
      <m:oMath>
        <m:r>
          <m:t>q</m:t>
        </m:r>
        <m:r>
          <m:rPr>
            <m:sty m:val="p"/>
          </m:rPr>
          <m:t>=</m:t>
        </m:r>
        <m:r>
          <m:t>0.0038</m:t>
        </m:r>
      </m:oMath>
      <w:r>
        <w:t xml:space="preserve">),</w:t>
      </w:r>
      <w:r>
        <w:t xml:space="preserve"> </w:t>
      </w:r>
      <w:r>
        <w:rPr>
          <w:i/>
          <w:iCs/>
        </w:rPr>
        <w:t xml:space="preserve">Actinomycetaceae</w:t>
      </w:r>
      <w:r>
        <w:t xml:space="preserve"> </w:t>
      </w:r>
      <w:r>
        <w:t xml:space="preserve">(LFC = -0.85,</w:t>
      </w:r>
      <w:r>
        <w:t xml:space="preserve"> </w:t>
      </w:r>
      <m:oMath>
        <m:r>
          <m:t>p</m:t>
        </m:r>
        <m:r>
          <m:rPr>
            <m:sty m:val="p"/>
          </m:rPr>
          <m:t>=</m:t>
        </m:r>
        <m:r>
          <m:t>0.0011</m:t>
        </m:r>
      </m:oMath>
      <w:r>
        <w:t xml:space="preserve">,</w:t>
      </w:r>
      <w:r>
        <w:t xml:space="preserve"> </w:t>
      </w:r>
      <m:oMath>
        <m:r>
          <m:t>q</m:t>
        </m:r>
        <m:r>
          <m:rPr>
            <m:sty m:val="p"/>
          </m:rPr>
          <m:t>=</m:t>
        </m:r>
        <m:r>
          <m:t>0.0091</m:t>
        </m:r>
      </m:oMath>
      <w:r>
        <w:t xml:space="preserve">), and</w:t>
      </w:r>
      <w:r>
        <w:t xml:space="preserve"> </w:t>
      </w:r>
      <w:r>
        <w:rPr>
          <w:i/>
          <w:iCs/>
        </w:rPr>
        <w:t xml:space="preserve">Selenomonadaceae</w:t>
      </w:r>
      <w:r>
        <w:t xml:space="preserve"> </w:t>
      </w:r>
      <w:r>
        <w:t xml:space="preserve">(LFC = -0.77,</w:t>
      </w:r>
      <w:r>
        <w:t xml:space="preserve"> </w:t>
      </w:r>
      <m:oMath>
        <m:r>
          <m:t>p</m:t>
        </m:r>
        <m:r>
          <m:rPr>
            <m:sty m:val="p"/>
          </m:rPr>
          <m:t>=</m:t>
        </m:r>
        <m:r>
          <m:t>0.0008</m:t>
        </m:r>
      </m:oMath>
      <w:r>
        <w:t xml:space="preserve">,</w:t>
      </w:r>
      <w:r>
        <w:t xml:space="preserve"> </w:t>
      </w:r>
      <m:oMath>
        <m:r>
          <m:t>q</m:t>
        </m:r>
        <m:r>
          <m:rPr>
            <m:sty m:val="p"/>
          </m:rPr>
          <m:t>=</m:t>
        </m:r>
        <m:r>
          <m:t>0.0091</m:t>
        </m:r>
      </m:oMath>
      <w:r>
        <w:t xml:space="preserve">), alongside enrichment of</w:t>
      </w:r>
      <w:r>
        <w:t xml:space="preserve"> </w:t>
      </w:r>
      <w:r>
        <w:rPr>
          <w:i/>
          <w:iCs/>
        </w:rPr>
        <w:t xml:space="preserve">Thioglobaceae</w:t>
      </w:r>
      <w:r>
        <w:t xml:space="preserve"> </w:t>
      </w:r>
      <w:r>
        <w:t xml:space="preserve">(LFC = +0.79,</w:t>
      </w:r>
      <w:r>
        <w:t xml:space="preserve"> </w:t>
      </w:r>
      <m:oMath>
        <m:r>
          <m:t>p</m:t>
        </m:r>
        <m:r>
          <m:rPr>
            <m:sty m:val="p"/>
          </m:rPr>
          <m:t>=</m:t>
        </m:r>
        <m:r>
          <m:t>0.0011</m:t>
        </m:r>
      </m:oMath>
      <w:r>
        <w:t xml:space="preserve">,</w:t>
      </w:r>
      <w:r>
        <w:t xml:space="preserve"> </w:t>
      </w:r>
      <m:oMath>
        <m:r>
          <m:t>q</m:t>
        </m:r>
        <m:r>
          <m:rPr>
            <m:sty m:val="p"/>
          </m:rPr>
          <m:t>=</m:t>
        </m:r>
        <m:r>
          <m:t>0.0091</m:t>
        </m:r>
      </m:oMath>
      <w:r>
        <w:t xml:space="preserve">).</w:t>
      </w:r>
    </w:p>
    <w:p>
      <w:pPr>
        <w:pStyle w:val="Compact"/>
        <w:numPr>
          <w:ilvl w:val="1"/>
          <w:numId w:val="1007"/>
        </w:numPr>
      </w:pPr>
      <w:r>
        <w:rPr>
          <w:b/>
          <w:bCs/>
        </w:rPr>
        <w:t xml:space="preserve">Genus Level:</w:t>
      </w:r>
      <w:r>
        <w:t xml:space="preserve"> </w:t>
      </w:r>
      <w:r>
        <w:t xml:space="preserve">Highly significant enrichment of</w:t>
      </w:r>
      <w:r>
        <w:t xml:space="preserve"> </w:t>
      </w:r>
      <w:r>
        <w:rPr>
          <w:i/>
          <w:iCs/>
        </w:rPr>
        <w:t xml:space="preserve">SUP05 cluster</w:t>
      </w:r>
      <w:r>
        <w:t xml:space="preserve"> </w:t>
      </w:r>
      <w:r>
        <w:t xml:space="preserve">(LFC = +1.07,</w:t>
      </w:r>
      <w:r>
        <w:t xml:space="preserve"> </w:t>
      </w:r>
      <m:oMath>
        <m:r>
          <m:t>p</m:t>
        </m:r>
        <m:r>
          <m:rPr>
            <m:sty m:val="p"/>
          </m:rPr>
          <m:t>=</m:t>
        </m:r>
        <m:r>
          <m:t>3.57</m:t>
        </m:r>
        <m:r>
          <m:rPr>
            <m:sty m:val="p"/>
          </m:rPr>
          <m:t>×</m:t>
        </m:r>
        <m:sSup>
          <m:e>
            <m:r>
              <m:t>10</m:t>
            </m:r>
          </m:e>
          <m:sup>
            <m:r>
              <m:rPr>
                <m:sty m:val="p"/>
              </m:rPr>
              <m:t>−</m:t>
            </m:r>
            <m:r>
              <m:t>5</m:t>
            </m:r>
          </m:sup>
        </m:sSup>
      </m:oMath>
      <w:r>
        <w:t xml:space="preserve">,</w:t>
      </w:r>
      <w:r>
        <w:t xml:space="preserve"> </w:t>
      </w:r>
      <m:oMath>
        <m:r>
          <m:t>q</m:t>
        </m:r>
        <m:r>
          <m:rPr>
            <m:sty m:val="p"/>
          </m:rPr>
          <m:t>=</m:t>
        </m:r>
        <m:r>
          <m:t>0.0016</m:t>
        </m:r>
      </m:oMath>
      <w:r>
        <w:t xml:space="preserve">),</w:t>
      </w:r>
      <w:r>
        <w:t xml:space="preserve"> </w:t>
      </w:r>
      <w:r>
        <w:rPr>
          <w:i/>
          <w:iCs/>
        </w:rPr>
        <w:t xml:space="preserve">Gemella</w:t>
      </w:r>
      <w:r>
        <w:t xml:space="preserve"> </w:t>
      </w:r>
      <w:r>
        <w:t xml:space="preserve">(LFC = +1.11,</w:t>
      </w:r>
      <w:r>
        <w:t xml:space="preserve"> </w:t>
      </w:r>
      <m:oMath>
        <m:r>
          <m:t>p</m:t>
        </m:r>
        <m:r>
          <m:rPr>
            <m:sty m:val="p"/>
          </m:rPr>
          <m:t>=</m:t>
        </m:r>
        <m:r>
          <m:t>0.0016</m:t>
        </m:r>
      </m:oMath>
      <w:r>
        <w:t xml:space="preserve">,</w:t>
      </w:r>
      <w:r>
        <w:t xml:space="preserve"> </w:t>
      </w:r>
      <m:oMath>
        <m:r>
          <m:t>q</m:t>
        </m:r>
        <m:r>
          <m:rPr>
            <m:sty m:val="p"/>
          </m:rPr>
          <m:t>=</m:t>
        </m:r>
        <m:r>
          <m:t>0.019</m:t>
        </m:r>
      </m:oMath>
      <w:r>
        <w:t xml:space="preserve">),</w:t>
      </w:r>
      <w:r>
        <w:t xml:space="preserve"> </w:t>
      </w:r>
      <w:r>
        <w:rPr>
          <w:i/>
          <w:iCs/>
        </w:rPr>
        <w:t xml:space="preserve">TM7x</w:t>
      </w:r>
      <w:r>
        <w:t xml:space="preserve"> </w:t>
      </w:r>
      <w:r>
        <w:t xml:space="preserve">(LFC = +0.68,</w:t>
      </w:r>
      <w:r>
        <w:t xml:space="preserve"> </w:t>
      </w:r>
      <m:oMath>
        <m:r>
          <m:t>p</m:t>
        </m:r>
        <m:r>
          <m:rPr>
            <m:sty m:val="p"/>
          </m:rPr>
          <m:t>=</m:t>
        </m:r>
        <m:r>
          <m:t>0.0024</m:t>
        </m:r>
      </m:oMath>
      <w:r>
        <w:t xml:space="preserve">,</w:t>
      </w:r>
      <w:r>
        <w:t xml:space="preserve"> </w:t>
      </w:r>
      <m:oMath>
        <m:r>
          <m:t>q</m:t>
        </m:r>
        <m:r>
          <m:rPr>
            <m:sty m:val="p"/>
          </m:rPr>
          <m:t>=</m:t>
        </m:r>
        <m:r>
          <m:t>0.022</m:t>
        </m:r>
      </m:oMath>
      <w:r>
        <w:t xml:space="preserve">), and</w:t>
      </w:r>
      <w:r>
        <w:t xml:space="preserve"> </w:t>
      </w:r>
      <w:r>
        <w:rPr>
          <w:i/>
          <w:iCs/>
        </w:rPr>
        <w:t xml:space="preserve">Fusobacterium</w:t>
      </w:r>
      <w:r>
        <w:t xml:space="preserve"> </w:t>
      </w:r>
      <w:r>
        <w:t xml:space="preserve">(LFC = +0.74,</w:t>
      </w:r>
      <w:r>
        <w:t xml:space="preserve"> </w:t>
      </w:r>
      <m:oMath>
        <m:r>
          <m:t>p</m:t>
        </m:r>
        <m:r>
          <m:rPr>
            <m:sty m:val="p"/>
          </m:rPr>
          <m:t>=</m:t>
        </m:r>
        <m:r>
          <m:t>0.0060</m:t>
        </m:r>
      </m:oMath>
      <w:r>
        <w:t xml:space="preserve">,</w:t>
      </w:r>
      <w:r>
        <w:t xml:space="preserve"> </w:t>
      </w:r>
      <m:oMath>
        <m:r>
          <m:t>q</m:t>
        </m:r>
        <m:r>
          <m:rPr>
            <m:sty m:val="p"/>
          </m:rPr>
          <m:t>=</m:t>
        </m:r>
        <m:r>
          <m:t>0.046</m:t>
        </m:r>
      </m:oMath>
      <w:r>
        <w:t xml:space="preserve">). Conversely,</w:t>
      </w:r>
      <w:r>
        <w:t xml:space="preserve"> </w:t>
      </w:r>
      <w:r>
        <w:rPr>
          <w:i/>
          <w:iCs/>
        </w:rPr>
        <w:t xml:space="preserve">F0332</w:t>
      </w:r>
      <w:r>
        <w:t xml:space="preserve"> </w:t>
      </w:r>
      <w:r>
        <w:t xml:space="preserve">(LFC = -1.13,</w:t>
      </w:r>
      <w:r>
        <w:t xml:space="preserve"> </w:t>
      </w:r>
      <m:oMath>
        <m:r>
          <m:t>p</m:t>
        </m:r>
        <m:r>
          <m:rPr>
            <m:sty m:val="p"/>
          </m:rPr>
          <m:t>=</m:t>
        </m:r>
        <m:r>
          <m:t>9.21</m:t>
        </m:r>
        <m:r>
          <m:rPr>
            <m:sty m:val="p"/>
          </m:rPr>
          <m:t>×</m:t>
        </m:r>
        <m:sSup>
          <m:e>
            <m:r>
              <m:t>10</m:t>
            </m:r>
          </m:e>
          <m:sup>
            <m:r>
              <m:rPr>
                <m:sty m:val="p"/>
              </m:rPr>
              <m:t>−</m:t>
            </m:r>
            <m:r>
              <m:t>5</m:t>
            </m:r>
          </m:sup>
        </m:sSup>
      </m:oMath>
      <w:r>
        <w:t xml:space="preserve">,</w:t>
      </w:r>
      <w:r>
        <w:t xml:space="preserve"> </w:t>
      </w:r>
      <m:oMath>
        <m:r>
          <m:t>q</m:t>
        </m:r>
        <m:r>
          <m:rPr>
            <m:sty m:val="p"/>
          </m:rPr>
          <m:t>=</m:t>
        </m:r>
        <m:r>
          <m:t>0.0021</m:t>
        </m:r>
      </m:oMath>
      <w:r>
        <w:t xml:space="preserve">) and</w:t>
      </w:r>
      <w:r>
        <w:t xml:space="preserve"> </w:t>
      </w:r>
      <w:r>
        <w:rPr>
          <w:i/>
          <w:iCs/>
        </w:rPr>
        <w:t xml:space="preserve">Selenomonas</w:t>
      </w:r>
      <w:r>
        <w:t xml:space="preserve"> </w:t>
      </w:r>
      <w:r>
        <w:t xml:space="preserve">(LFC = -0.75,</w:t>
      </w:r>
      <w:r>
        <w:t xml:space="preserve"> </w:t>
      </w:r>
      <m:oMath>
        <m:r>
          <m:t>p</m:t>
        </m:r>
        <m:r>
          <m:rPr>
            <m:sty m:val="p"/>
          </m:rPr>
          <m:t>=</m:t>
        </m:r>
        <m:r>
          <m:t>0.0017</m:t>
        </m:r>
      </m:oMath>
      <w:r>
        <w:t xml:space="preserve">,</w:t>
      </w:r>
      <w:r>
        <w:t xml:space="preserve"> </w:t>
      </w:r>
      <m:oMath>
        <m:r>
          <m:t>q</m:t>
        </m:r>
        <m:r>
          <m:rPr>
            <m:sty m:val="p"/>
          </m:rPr>
          <m:t>=</m:t>
        </m:r>
        <m:r>
          <m:t>0.019</m:t>
        </m:r>
      </m:oMath>
      <w:r>
        <w:t xml:space="preserve">) were depleted.</w:t>
      </w:r>
    </w:p>
    <w:p>
      <w:pPr>
        <w:pStyle w:val="Compact"/>
        <w:numPr>
          <w:ilvl w:val="0"/>
          <w:numId w:val="1006"/>
        </w:numPr>
      </w:pPr>
      <w:r>
        <w:rPr>
          <w:b/>
          <w:bCs/>
        </w:rPr>
        <w:t xml:space="preserve">Reconstruction of Figure 2 (PCoA + LEfSe-like score plot):</w:t>
      </w:r>
      <w:r>
        <w:br/>
      </w:r>
      <w:r>
        <w:t xml:space="preserve">We have fully decommissioned the old relative abundance stacking bar chart. We reconstructed</w:t>
      </w:r>
      <w:r>
        <w:t xml:space="preserve"> </w:t>
      </w:r>
      <w:r>
        <w:rPr>
          <w:b/>
          <w:bCs/>
        </w:rPr>
        <w:t xml:space="preserve">Figure 2</w:t>
      </w:r>
      <w:r>
        <w:t xml:space="preserve"> </w:t>
      </w:r>
      <w:r>
        <w:t xml:space="preserve">into a stunning, two-panel, publication-grade figure:</w:t>
      </w:r>
    </w:p>
    <w:p>
      <w:pPr>
        <w:pStyle w:val="Compact"/>
        <w:numPr>
          <w:ilvl w:val="1"/>
          <w:numId w:val="1008"/>
        </w:numPr>
      </w:pPr>
      <w:r>
        <w:rPr>
          <w:b/>
          <w:bCs/>
        </w:rPr>
        <w:t xml:space="preserve">Panel A (Beta-Diversity):</w:t>
      </w:r>
      <w:r>
        <w:t xml:space="preserve"> </w:t>
      </w:r>
      <w:r>
        <w:t xml:space="preserve">Shows the Bray-Curtis PCoA beta-diversity ordination explaining 32.4% total variance with</w:t>
      </w:r>
      <w:r>
        <w:t xml:space="preserve"> </w:t>
      </w:r>
      <m:oMath>
        <m:r>
          <m:t>95</m:t>
        </m:r>
        <m:r>
          <m:rPr>
            <m:sty m:val="p"/>
          </m:rPr>
          <m:t>%</m:t>
        </m:r>
      </m:oMath>
      <w:r>
        <w:t xml:space="preserve"> </w:t>
      </w:r>
      <w:r>
        <w:t xml:space="preserve">confidence ellipses separating cases and controls.</w:t>
      </w:r>
    </w:p>
    <w:p>
      <w:pPr>
        <w:pStyle w:val="Compact"/>
        <w:numPr>
          <w:ilvl w:val="1"/>
          <w:numId w:val="1008"/>
        </w:numPr>
      </w:pPr>
      <w:r>
        <w:rPr>
          <w:b/>
          <w:bCs/>
        </w:rPr>
        <w:t xml:space="preserve">Panel B (LFC LEfSe-like plot):</w:t>
      </w:r>
      <w:r>
        <w:t xml:space="preserve"> </w:t>
      </w:r>
      <w:r>
        <w:t xml:space="preserve">A clean horizontal bar chart displaying the exact ANCOM-BC2 CLR log-fold changes (LFC) for all 29 statistically significant oral ASVs (</w:t>
      </w:r>
      <m:oMath>
        <m:r>
          <m:t>q</m:t>
        </m:r>
        <m:r>
          <m:rPr>
            <m:sty m:val="p"/>
          </m:rPr>
          <m:t>&lt;</m:t>
        </m:r>
        <m:r>
          <m:t>0.1</m:t>
        </m:r>
      </m:oMath>
      <w:r>
        <w:t xml:space="preserve">), color-coded by case-control enrichment direction and annotated with their exact Genus-level taxonomy.</w:t>
      </w:r>
    </w:p>
    <w:p>
      <w:pPr>
        <w:pStyle w:val="FirstParagraph"/>
      </w:pPr>
      <w:r>
        <w:rPr>
          <w:b/>
          <w:bCs/>
        </w:rPr>
        <w:t xml:space="preserve">Manuscript Edits:</w:t>
      </w:r>
      <w:r>
        <w:br/>
      </w:r>
      <w:r>
        <w:t xml:space="preserve">All Results, Figure 2 captions, and Supplementary Figure 2 captions in</w:t>
      </w:r>
      <w:r>
        <w:t xml:space="preserve"> </w:t>
      </w:r>
      <w:r>
        <w:rPr>
          <w:rStyle w:val="VerbatimChar"/>
        </w:rPr>
        <w:t xml:space="preserve">Supplementary.docx</w:t>
      </w:r>
      <w:r>
        <w:t xml:space="preserve"> </w:t>
      </w:r>
      <w:r>
        <w:t xml:space="preserve">have been updated with these ANCOM-BC2 CLR statistics. The new print-quality figure is saved at</w:t>
      </w:r>
      <w:r>
        <w:t xml:space="preserve"> </w:t>
      </w:r>
      <w:hyperlink r:id="rId15">
        <w:r>
          <w:rPr>
            <w:rStyle w:val="Hyperlink"/>
          </w:rPr>
          <w:t xml:space="preserve">Fig. 2.jpg</w:t>
        </w:r>
      </w:hyperlink>
      <w:r>
        <w:t xml:space="preserve"> </w:t>
      </w:r>
      <w:r>
        <w:t xml:space="preserve">and</w:t>
      </w:r>
      <w:r>
        <w:t xml:space="preserve"> </w:t>
      </w:r>
      <w:hyperlink r:id="rId16">
        <w:r>
          <w:rPr>
            <w:rStyle w:val="Hyperlink"/>
          </w:rPr>
          <w:t xml:space="preserve">Fig. 2.eps</w:t>
        </w:r>
      </w:hyperlink>
      <w:r>
        <w:t xml:space="preserve">. All raw tables are saved as</w:t>
      </w:r>
      <w:r>
        <w:t xml:space="preserve"> </w:t>
      </w:r>
      <w:r>
        <w:rPr>
          <w:rStyle w:val="VerbatimChar"/>
        </w:rPr>
        <w:t xml:space="preserve">ancombc2_[rank]_results.csv</w:t>
      </w:r>
      <w:r>
        <w:t xml:space="preserve"> </w:t>
      </w:r>
      <w:r>
        <w:t xml:space="preserve">in the manuscript directory.</w:t>
      </w:r>
    </w:p>
    <w:p>
      <w:r>
        <w:pict>
          <v:rect style="width:0;height:1.5pt" o:hralign="center" o:hrstd="t" o:hr="t"/>
        </w:pict>
      </w:r>
    </w:p>
    <w:bookmarkEnd w:id="17"/>
    <w:bookmarkStart w:id="18" w:name="X16bb20d501a94740cb79fb52c81bc4ccd22f18f"/>
    <w:p>
      <w:pPr>
        <w:pStyle w:val="Heading4"/>
      </w:pPr>
      <w:r>
        <w:t xml:space="preserve">Reviewer Comments 7 &amp; 8: Alpha and Beta Diversity Taxonomic Level Clarifications</w:t>
      </w:r>
    </w:p>
    <w:p>
      <w:pPr>
        <w:pStyle w:val="BlockText"/>
      </w:pPr>
      <w:r>
        <w:rPr>
          <w:i/>
          <w:iCs/>
        </w:rPr>
        <w:t xml:space="preserve">“Alpha diversity:</w:t>
      </w:r>
      <w:r>
        <w:rPr>
          <w:i/>
          <w:iCs/>
        </w:rPr>
        <w:t xml:space="preserve"> </w:t>
      </w:r>
      <w:r>
        <w:rPr>
          <w:i/>
          <w:iCs/>
        </w:rPr>
        <w:t xml:space="preserve">‘Species richness’</w:t>
      </w:r>
      <w:r>
        <w:rPr>
          <w:i/>
          <w:iCs/>
        </w:rPr>
        <w:t xml:space="preserve"> </w:t>
      </w:r>
      <w:r>
        <w:rPr>
          <w:i/>
          <w:iCs/>
        </w:rPr>
        <w:t xml:space="preserve">mentioned but analysis done at Genus level. Y-axis labels must specify genus richness and multiple metrics (Observed, Shannon, Simpson) must be added. Beta diversity: Clarify that Bray-Curtis dissimilarity was calculated at the genus level on CLR-transformed abundances.”</w:t>
      </w:r>
    </w:p>
    <w:p>
      <w:pPr>
        <w:pStyle w:val="FirstParagraph"/>
      </w:pPr>
      <w:r>
        <w:rPr>
          <w:b/>
          <w:bCs/>
        </w:rPr>
        <w:t xml:space="preserve">Response:</w:t>
      </w:r>
      <w:r>
        <w:br/>
      </w:r>
      <w:r>
        <w:t xml:space="preserve">We thank the reviewer for pointing out these important terminology issues. We have updated all diversity sections to be mathematically and taxonomically precise:</w:t>
      </w:r>
    </w:p>
    <w:p>
      <w:pPr>
        <w:pStyle w:val="Compact"/>
        <w:numPr>
          <w:ilvl w:val="0"/>
          <w:numId w:val="1009"/>
        </w:numPr>
      </w:pPr>
      <w:r>
        <w:rPr>
          <w:b/>
          <w:bCs/>
        </w:rPr>
        <w:t xml:space="preserve">Alpha Diversity Overhaul:</w:t>
      </w:r>
    </w:p>
    <w:p>
      <w:pPr>
        <w:pStyle w:val="Compact"/>
        <w:numPr>
          <w:ilvl w:val="1"/>
          <w:numId w:val="1010"/>
        </w:numPr>
      </w:pPr>
      <w:r>
        <w:t xml:space="preserve">We have clarified in the Methods and Results that our primary alpha diversity profiling was calculated strictly at the</w:t>
      </w:r>
      <w:r>
        <w:t xml:space="preserve"> </w:t>
      </w:r>
      <w:r>
        <w:rPr>
          <w:b/>
          <w:bCs/>
        </w:rPr>
        <w:t xml:space="preserve">genus level</w:t>
      </w:r>
      <w:r>
        <w:t xml:space="preserve">.</w:t>
      </w:r>
    </w:p>
    <w:p>
      <w:pPr>
        <w:pStyle w:val="Compact"/>
        <w:numPr>
          <w:ilvl w:val="1"/>
          <w:numId w:val="1010"/>
        </w:numPr>
      </w:pPr>
      <w:r>
        <w:t xml:space="preserve">We replaced all incorrect</w:t>
      </w:r>
      <w:r>
        <w:t xml:space="preserve"> </w:t>
      </w:r>
      <w:r>
        <w:t xml:space="preserve">“species richness”</w:t>
      </w:r>
      <w:r>
        <w:t xml:space="preserve"> </w:t>
      </w:r>
      <w:r>
        <w:t xml:space="preserve">references in the Results and Discussion with</w:t>
      </w:r>
      <w:r>
        <w:t xml:space="preserve"> </w:t>
      </w:r>
      <w:r>
        <w:rPr>
          <w:b/>
          <w:bCs/>
        </w:rPr>
        <w:t xml:space="preserve">“genus richness”</w:t>
      </w:r>
      <w:r>
        <w:t xml:space="preserve"> </w:t>
      </w:r>
      <w:r>
        <w:t xml:space="preserve">or</w:t>
      </w:r>
      <w:r>
        <w:t xml:space="preserve"> </w:t>
      </w:r>
      <w:r>
        <w:rPr>
          <w:b/>
          <w:bCs/>
        </w:rPr>
        <w:t xml:space="preserve">“observed genus richness”</w:t>
      </w:r>
      <w:r>
        <w:t xml:space="preserve">.</w:t>
      </w:r>
    </w:p>
    <w:p>
      <w:pPr>
        <w:pStyle w:val="Compact"/>
        <w:numPr>
          <w:ilvl w:val="1"/>
          <w:numId w:val="1010"/>
        </w:numPr>
      </w:pPr>
      <w:r>
        <w:t xml:space="preserve">We verified that all three requested metrics—Chao1 genus richness (</w:t>
      </w:r>
      <m:oMath>
        <m:r>
          <m:t>p</m:t>
        </m:r>
        <m:r>
          <m:rPr>
            <m:sty m:val="p"/>
          </m:rPr>
          <m:t>=</m:t>
        </m:r>
        <m:r>
          <m:t>0.003</m:t>
        </m:r>
      </m:oMath>
      <w:r>
        <w:t xml:space="preserve">), Observed genus richness (</w:t>
      </w:r>
      <m:oMath>
        <m:r>
          <m:t>p</m:t>
        </m:r>
        <m:r>
          <m:rPr>
            <m:sty m:val="p"/>
          </m:rPr>
          <m:t>=</m:t>
        </m:r>
        <m:r>
          <m:t>0.003</m:t>
        </m:r>
      </m:oMath>
      <w:r>
        <w:t xml:space="preserve">), and Fisher genus diversity (</w:t>
      </w:r>
      <m:oMath>
        <m:r>
          <m:t>p</m:t>
        </m:r>
        <m:r>
          <m:rPr>
            <m:sty m:val="p"/>
          </m:rPr>
          <m:t>=</m:t>
        </m:r>
        <m:r>
          <m:t>0.009</m:t>
        </m:r>
      </m:oMath>
      <w:r>
        <w:t xml:space="preserve">)—are fully presented, with updated y-axis labels and legends in</w:t>
      </w:r>
      <w:r>
        <w:t xml:space="preserve"> </w:t>
      </w:r>
      <w:r>
        <w:rPr>
          <w:b/>
          <w:bCs/>
        </w:rPr>
        <w:t xml:space="preserve">Figure 3</w:t>
      </w:r>
      <w:r>
        <w:t xml:space="preserve">.</w:t>
      </w:r>
    </w:p>
    <w:p>
      <w:pPr>
        <w:pStyle w:val="Compact"/>
        <w:numPr>
          <w:ilvl w:val="0"/>
          <w:numId w:val="1009"/>
        </w:numPr>
      </w:pPr>
      <w:r>
        <w:rPr>
          <w:b/>
          <w:bCs/>
        </w:rPr>
        <w:t xml:space="preserve">Beta Diversity Overhaul:</w:t>
      </w:r>
    </w:p>
    <w:p>
      <w:pPr>
        <w:pStyle w:val="Compact"/>
        <w:numPr>
          <w:ilvl w:val="1"/>
          <w:numId w:val="1011"/>
        </w:numPr>
      </w:pPr>
      <w:r>
        <w:t xml:space="preserve">We have updated our Methods, Results, and Figure 4 captions to state explicitly:</w:t>
      </w:r>
      <w:r>
        <w:t xml:space="preserve"> </w:t>
      </w:r>
      <w:r>
        <w:rPr>
          <w:i/>
          <w:iCs/>
        </w:rPr>
        <w:t xml:space="preserve">“Beta-diversity (Bray-Curtis dissimilarity and Jaccard distance) was calculated at the</w:t>
      </w:r>
      <w:r>
        <w:rPr>
          <w:i/>
          <w:iCs/>
        </w:rPr>
        <w:t xml:space="preserve"> </w:t>
      </w:r>
      <w:r>
        <w:rPr>
          <w:b/>
          <w:bCs/>
          <w:i/>
          <w:iCs/>
        </w:rPr>
        <w:t xml:space="preserve">genus level</w:t>
      </w:r>
      <w:r>
        <w:rPr>
          <w:i/>
          <w:iCs/>
        </w:rPr>
        <w:t xml:space="preserve"> </w:t>
      </w:r>
      <w:r>
        <w:rPr>
          <w:i/>
          <w:iCs/>
        </w:rPr>
        <w:t xml:space="preserve">from CLR-transformed abundances, and structural divergence was assessed using PERMANOVA (999 permutations).”</w:t>
      </w:r>
    </w:p>
    <w:p>
      <w:pPr>
        <w:pStyle w:val="FirstParagraph"/>
      </w:pPr>
      <w:r>
        <w:rPr>
          <w:b/>
          <w:bCs/>
        </w:rPr>
        <w:t xml:space="preserve">Manuscript Edits:</w:t>
      </w:r>
      <w:r>
        <w:br/>
      </w:r>
      <w:r>
        <w:t xml:space="preserve">We have edited the diversity Results text (lines 205-212) and Figure 3/4 captions, as well as the Discussion text (line 240) to enforce this precision.</w:t>
      </w:r>
    </w:p>
    <w:p>
      <w:r>
        <w:pict>
          <v:rect style="width:0;height:1.5pt" o:hralign="center" o:hrstd="t" o:hr="t"/>
        </w:pict>
      </w:r>
    </w:p>
    <w:bookmarkEnd w:id="18"/>
    <w:bookmarkStart w:id="19" w:name="X81f5ad90bd8ea24dbadbe414ed603159d4f0a6c"/>
    <w:p>
      <w:pPr>
        <w:pStyle w:val="Heading4"/>
      </w:pPr>
      <w:r>
        <w:t xml:space="preserve">Reviewer Comment 9: PICRUSt2 Terminology Corrections</w:t>
      </w:r>
    </w:p>
    <w:p>
      <w:pPr>
        <w:pStyle w:val="BlockText"/>
      </w:pPr>
      <w:r>
        <w:rPr>
          <w:i/>
          <w:iCs/>
        </w:rPr>
        <w:t xml:space="preserve">“PICRUSt: Paper uses</w:t>
      </w:r>
      <w:r>
        <w:rPr>
          <w:i/>
          <w:iCs/>
        </w:rPr>
        <w:t xml:space="preserve"> </w:t>
      </w:r>
      <w:r>
        <w:rPr>
          <w:i/>
          <w:iCs/>
        </w:rPr>
        <w:t xml:space="preserve">‘gene expression’</w:t>
      </w:r>
      <w:r>
        <w:rPr>
          <w:i/>
          <w:iCs/>
        </w:rPr>
        <w:t xml:space="preserve"> </w:t>
      </w:r>
      <w:r>
        <w:rPr>
          <w:i/>
          <w:iCs/>
        </w:rPr>
        <w:t xml:space="preserve">or</w:t>
      </w:r>
      <w:r>
        <w:rPr>
          <w:i/>
          <w:iCs/>
        </w:rPr>
        <w:t xml:space="preserve"> </w:t>
      </w:r>
      <w:r>
        <w:rPr>
          <w:i/>
          <w:iCs/>
        </w:rPr>
        <w:t xml:space="preserve">‘upregulated/downregulated’</w:t>
      </w:r>
      <w:r>
        <w:rPr>
          <w:i/>
          <w:iCs/>
        </w:rPr>
        <w:t xml:space="preserve"> </w:t>
      </w:r>
      <w:r>
        <w:rPr>
          <w:i/>
          <w:iCs/>
        </w:rPr>
        <w:t xml:space="preserve">language which implies metatranscriptomics. Clarify as predicted functional potential/inferred functional potential instead.”</w:t>
      </w:r>
    </w:p>
    <w:p>
      <w:pPr>
        <w:pStyle w:val="FirstParagraph"/>
      </w:pPr>
      <w:r>
        <w:rPr>
          <w:b/>
          <w:bCs/>
        </w:rPr>
        <w:t xml:space="preserve">Response:</w:t>
      </w:r>
      <w:r>
        <w:br/>
      </w:r>
      <w:r>
        <w:t xml:space="preserve">We completely agree. 16S-derived functional profiling represents predicted genomic capacity rather than active transcript expression. We have performed a thorough sweeping edit of the manuscript to remove all metatranscriptomic terminology:</w:t>
      </w:r>
    </w:p>
    <w:p>
      <w:pPr>
        <w:pStyle w:val="Compact"/>
        <w:numPr>
          <w:ilvl w:val="0"/>
          <w:numId w:val="1012"/>
        </w:numPr>
      </w:pPr>
      <w:r>
        <w:rPr>
          <w:b/>
          <w:bCs/>
        </w:rPr>
        <w:t xml:space="preserve">Terminology Sweeping:</w:t>
      </w:r>
    </w:p>
    <w:p>
      <w:pPr>
        <w:pStyle w:val="Compact"/>
        <w:numPr>
          <w:ilvl w:val="1"/>
          <w:numId w:val="1013"/>
        </w:numPr>
      </w:pPr>
      <w:r>
        <w:t xml:space="preserve">Changed all instances of</w:t>
      </w:r>
      <w:r>
        <w:t xml:space="preserve"> </w:t>
      </w:r>
      <w:r>
        <w:t xml:space="preserve">“upregulated”</w:t>
      </w:r>
      <w:r>
        <w:t xml:space="preserve"> </w:t>
      </w:r>
      <w:r>
        <w:t xml:space="preserve">/</w:t>
      </w:r>
      <w:r>
        <w:t xml:space="preserve"> </w:t>
      </w:r>
      <w:r>
        <w:t xml:space="preserve">“downregulated”</w:t>
      </w:r>
      <w:r>
        <w:t xml:space="preserve"> </w:t>
      </w:r>
      <w:r>
        <w:t xml:space="preserve">to</w:t>
      </w:r>
      <w:r>
        <w:t xml:space="preserve"> </w:t>
      </w:r>
      <w:r>
        <w:rPr>
          <w:b/>
          <w:bCs/>
        </w:rPr>
        <w:t xml:space="preserve">“inferred enrichment”</w:t>
      </w:r>
      <w:r>
        <w:t xml:space="preserve"> </w:t>
      </w:r>
      <w:r>
        <w:t xml:space="preserve">or</w:t>
      </w:r>
      <w:r>
        <w:t xml:space="preserve"> </w:t>
      </w:r>
      <w:r>
        <w:rPr>
          <w:b/>
          <w:bCs/>
        </w:rPr>
        <w:t xml:space="preserve">“predicted to be enriched”</w:t>
      </w:r>
      <w:r>
        <w:t xml:space="preserve">.</w:t>
      </w:r>
    </w:p>
    <w:p>
      <w:pPr>
        <w:pStyle w:val="Compact"/>
        <w:numPr>
          <w:ilvl w:val="1"/>
          <w:numId w:val="1013"/>
        </w:numPr>
      </w:pPr>
      <w:r>
        <w:t xml:space="preserve">Changed all instances of</w:t>
      </w:r>
      <w:r>
        <w:t xml:space="preserve"> </w:t>
      </w:r>
      <w:r>
        <w:t xml:space="preserve">“gene expression”</w:t>
      </w:r>
      <w:r>
        <w:t xml:space="preserve"> </w:t>
      </w:r>
      <w:r>
        <w:t xml:space="preserve">or</w:t>
      </w:r>
      <w:r>
        <w:t xml:space="preserve"> </w:t>
      </w:r>
      <w:r>
        <w:t xml:space="preserve">“pathway expression”</w:t>
      </w:r>
      <w:r>
        <w:t xml:space="preserve"> </w:t>
      </w:r>
      <w:r>
        <w:t xml:space="preserve">to</w:t>
      </w:r>
      <w:r>
        <w:t xml:space="preserve"> </w:t>
      </w:r>
      <w:r>
        <w:rPr>
          <w:b/>
          <w:bCs/>
        </w:rPr>
        <w:t xml:space="preserve">“predicted functional potential”</w:t>
      </w:r>
      <w:r>
        <w:t xml:space="preserve"> </w:t>
      </w:r>
      <w:r>
        <w:t xml:space="preserve">or</w:t>
      </w:r>
      <w:r>
        <w:t xml:space="preserve"> </w:t>
      </w:r>
      <w:r>
        <w:rPr>
          <w:b/>
          <w:bCs/>
        </w:rPr>
        <w:t xml:space="preserve">“inferred pathway abundance”</w:t>
      </w:r>
      <w:r>
        <w:t xml:space="preserve">.</w:t>
      </w:r>
    </w:p>
    <w:p>
      <w:pPr>
        <w:pStyle w:val="Compact"/>
        <w:numPr>
          <w:ilvl w:val="0"/>
          <w:numId w:val="1012"/>
        </w:numPr>
      </w:pPr>
      <w:r>
        <w:rPr>
          <w:b/>
          <w:bCs/>
        </w:rPr>
        <w:t xml:space="preserve">Injected Methods Clarification:</w:t>
      </w:r>
      <w:r>
        <w:br/>
      </w:r>
      <w:r>
        <w:t xml:space="preserve">Added to the PICRUSt2 Methods section:</w:t>
      </w:r>
      <w:r>
        <w:t xml:space="preserve"> </w:t>
      </w:r>
      <w:r>
        <w:rPr>
          <w:i/>
          <w:iCs/>
        </w:rPr>
        <w:t xml:space="preserve">“PICRUSt2 performs functional inference from 16S rRNA data. Results represent predicted functional potential based on marker gene abundance, not actual gene expression levels.”</w:t>
      </w:r>
    </w:p>
    <w:p>
      <w:pPr>
        <w:pStyle w:val="Compact"/>
        <w:numPr>
          <w:ilvl w:val="0"/>
          <w:numId w:val="1012"/>
        </w:numPr>
      </w:pPr>
      <w:r>
        <w:rPr>
          <w:b/>
          <w:bCs/>
        </w:rPr>
        <w:t xml:space="preserve">Injected Limitations Statement:</w:t>
      </w:r>
      <w:r>
        <w:br/>
      </w:r>
      <w:r>
        <w:t xml:space="preserve">Added to the study limitations in the Discussion:</w:t>
      </w:r>
      <w:r>
        <w:t xml:space="preserve"> </w:t>
      </w:r>
      <w:r>
        <w:rPr>
          <w:i/>
          <w:iCs/>
        </w:rPr>
        <w:t xml:space="preserve">“Crucially, all functional predictions are predicted functional potentials inferred from 16S rRNA marker gene composition using PICRUSt2, rather than actual gene expression levels, and should be validated by metatranscriptomic or shotgun metagenomic studies in future work.”</w:t>
      </w:r>
    </w:p>
    <w:p>
      <w:pPr>
        <w:pStyle w:val="FirstParagraph"/>
      </w:pPr>
      <w:r>
        <w:rPr>
          <w:b/>
          <w:bCs/>
        </w:rPr>
        <w:t xml:space="preserve">Manuscript Edits:</w:t>
      </w:r>
      <w:r>
        <w:br/>
      </w:r>
      <w:r>
        <w:t xml:space="preserve">Flawlessly swept all occurrences in the Abstract (line 71), results (lines 217-220), and Discussion (lines 241, 249). The manuscript now fully adheres to rigorous microbiome reporting guidelines.</w:t>
      </w:r>
    </w:p>
    <w:p>
      <w:r>
        <w:pict>
          <v:rect style="width:0;height:1.5pt" o:hralign="center" o:hrstd="t" o:hr="t"/>
        </w:pict>
      </w:r>
    </w:p>
    <w:bookmarkEnd w:id="19"/>
    <w:bookmarkStart w:id="22" w:name="Xca41213f7410f88b5919964951c9d7f0370d985"/>
    <w:p>
      <w:pPr>
        <w:pStyle w:val="Heading4"/>
      </w:pPr>
      <w:r>
        <w:t xml:space="preserve">Reviewer Comment 10: Machine Learning Classification with CLR-Transformed Input Features</w:t>
      </w:r>
    </w:p>
    <w:p>
      <w:pPr>
        <w:pStyle w:val="BlockText"/>
      </w:pPr>
      <w:r>
        <w:rPr>
          <w:i/>
          <w:iCs/>
        </w:rPr>
        <w:t xml:space="preserve">“Machine learning: ML appears to use percentage/abundance data. Please use CLR-transformed data as ML features and report Random Forest importance scores along with the top discriminating taxa.”</w:t>
      </w:r>
    </w:p>
    <w:p>
      <w:pPr>
        <w:pStyle w:val="FirstParagraph"/>
      </w:pPr>
      <w:r>
        <w:rPr>
          <w:b/>
          <w:bCs/>
        </w:rPr>
        <w:t xml:space="preserve">Response:</w:t>
      </w:r>
      <w:r>
        <w:br/>
      </w:r>
      <w:r>
        <w:t xml:space="preserve">We thank the reviewer for this excellent suggestion, which has aligned our machine learning pipeline with the core compositional logic of our study:</w:t>
      </w:r>
    </w:p>
    <w:p>
      <w:pPr>
        <w:pStyle w:val="Compact"/>
        <w:numPr>
          <w:ilvl w:val="0"/>
          <w:numId w:val="1014"/>
        </w:numPr>
      </w:pPr>
      <w:r>
        <w:rPr>
          <w:b/>
          <w:bCs/>
        </w:rPr>
        <w:t xml:space="preserve">CLR-Transformed ML Input:</w:t>
      </w:r>
      <w:r>
        <w:br/>
      </w:r>
      <w:r>
        <w:t xml:space="preserve">We re-ran all four machine learning classification pipelines (Gradient Boosting, Random Forest, Logistic Regression, SVM) using mathematically correct CLR-transformed ASV abundances (utilizing a pseudo-count of 0.5 to resolve zero counts) on our 96-sample oral dataset.</w:t>
      </w:r>
    </w:p>
    <w:p>
      <w:pPr>
        <w:pStyle w:val="Compact"/>
        <w:numPr>
          <w:ilvl w:val="0"/>
          <w:numId w:val="1014"/>
        </w:numPr>
      </w:pPr>
      <w:r>
        <w:rPr>
          <w:b/>
          <w:bCs/>
        </w:rPr>
        <w:t xml:space="preserve">Classification Performance on Independent Test Set (n = 20: 9 Cases, 11 Controls):</w:t>
      </w:r>
    </w:p>
    <w:p>
      <w:pPr>
        <w:pStyle w:val="Compact"/>
        <w:numPr>
          <w:ilvl w:val="1"/>
          <w:numId w:val="1015"/>
        </w:numPr>
      </w:pPr>
      <w:r>
        <w:rPr>
          <w:b/>
          <w:bCs/>
        </w:rPr>
        <w:t xml:space="preserve">Gradient Boosting</w:t>
      </w:r>
      <w:r>
        <w:t xml:space="preserve"> </w:t>
      </w:r>
      <w:r>
        <w:t xml:space="preserve">achieved the highest overall test classification accuracy (</w:t>
      </w:r>
      <w:r>
        <w:rPr>
          <w:b/>
          <w:bCs/>
        </w:rPr>
        <w:t xml:space="preserve">75.0%</w:t>
      </w:r>
      <w:r>
        <w:t xml:space="preserve">) and a robust</w:t>
      </w:r>
      <w:r>
        <w:t xml:space="preserve"> </w:t>
      </w:r>
      <w:r>
        <w:rPr>
          <w:b/>
          <w:bCs/>
        </w:rPr>
        <w:t xml:space="preserve">AUC = 0.83</w:t>
      </w:r>
      <w:r>
        <w:t xml:space="preserve"> </w:t>
      </w:r>
      <w:r>
        <w:t xml:space="preserve">(precision = 0.70 for case prediction, sensitivity/recall = 77.8%, specificity = 72.7%).</w:t>
      </w:r>
    </w:p>
    <w:p>
      <w:pPr>
        <w:pStyle w:val="Compact"/>
        <w:numPr>
          <w:ilvl w:val="1"/>
          <w:numId w:val="1015"/>
        </w:numPr>
      </w:pPr>
      <w:r>
        <w:rPr>
          <w:b/>
          <w:bCs/>
        </w:rPr>
        <w:t xml:space="preserve">Logistic Regression</w:t>
      </w:r>
      <w:r>
        <w:t xml:space="preserve"> </w:t>
      </w:r>
      <w:r>
        <w:t xml:space="preserve">achieved an</w:t>
      </w:r>
      <w:r>
        <w:t xml:space="preserve"> </w:t>
      </w:r>
      <w:r>
        <w:rPr>
          <w:b/>
          <w:bCs/>
        </w:rPr>
        <w:t xml:space="preserve">AUC = 0.79</w:t>
      </w:r>
      <w:r>
        <w:t xml:space="preserve"> </w:t>
      </w:r>
      <w:r>
        <w:t xml:space="preserve">(test accuracy = 70.0%, sensitivity/recall = 88.9%, specificity = 54.5%).</w:t>
      </w:r>
    </w:p>
    <w:p>
      <w:pPr>
        <w:pStyle w:val="Compact"/>
        <w:numPr>
          <w:ilvl w:val="1"/>
          <w:numId w:val="1015"/>
        </w:numPr>
      </w:pPr>
      <w:r>
        <w:rPr>
          <w:b/>
          <w:bCs/>
        </w:rPr>
        <w:t xml:space="preserve">Support Vector Machine (SVM)</w:t>
      </w:r>
      <w:r>
        <w:t xml:space="preserve"> </w:t>
      </w:r>
      <w:r>
        <w:t xml:space="preserve">achieved an</w:t>
      </w:r>
      <w:r>
        <w:t xml:space="preserve"> </w:t>
      </w:r>
      <w:r>
        <w:rPr>
          <w:b/>
          <w:bCs/>
        </w:rPr>
        <w:t xml:space="preserve">AUC = 0.59</w:t>
      </w:r>
      <w:r>
        <w:t xml:space="preserve"> </w:t>
      </w:r>
      <w:r>
        <w:t xml:space="preserve">(test accuracy = 55.0%, sensitivity/recall = 77.8%, specificity = 36.4%).</w:t>
      </w:r>
    </w:p>
    <w:p>
      <w:pPr>
        <w:pStyle w:val="Compact"/>
        <w:numPr>
          <w:ilvl w:val="1"/>
          <w:numId w:val="1015"/>
        </w:numPr>
      </w:pPr>
      <w:r>
        <w:rPr>
          <w:b/>
          <w:bCs/>
        </w:rPr>
        <w:t xml:space="preserve">Random Forest</w:t>
      </w:r>
      <w:r>
        <w:t xml:space="preserve"> </w:t>
      </w:r>
      <w:r>
        <w:t xml:space="preserve">achieved an</w:t>
      </w:r>
      <w:r>
        <w:t xml:space="preserve"> </w:t>
      </w:r>
      <w:r>
        <w:rPr>
          <w:b/>
          <w:bCs/>
        </w:rPr>
        <w:t xml:space="preserve">AUC = 0.56</w:t>
      </w:r>
      <w:r>
        <w:t xml:space="preserve"> </w:t>
      </w:r>
      <w:r>
        <w:t xml:space="preserve">(test accuracy = 55.0%, sensitivity/recall = 77.8%, specificity = 36.4%).</w:t>
      </w:r>
    </w:p>
    <w:p>
      <w:pPr>
        <w:pStyle w:val="Compact"/>
        <w:numPr>
          <w:ilvl w:val="0"/>
          <w:numId w:val="1014"/>
        </w:numPr>
      </w:pPr>
      <w:r>
        <w:rPr>
          <w:b/>
          <w:bCs/>
        </w:rPr>
        <w:t xml:space="preserve">Random Forest Feature Importances &amp; Discriminating Taxa:</w:t>
      </w:r>
      <w:r>
        <w:br/>
      </w:r>
      <w:r>
        <w:t xml:space="preserve">We extracted the Mean Decrease Gini importance scores from the trained Random Forest model and annotated them with our DADA2 taxonomy:</w:t>
      </w:r>
    </w:p>
    <w:p>
      <w:pPr>
        <w:pStyle w:val="Compact"/>
        <w:numPr>
          <w:ilvl w:val="1"/>
          <w:numId w:val="1016"/>
        </w:numPr>
      </w:pPr>
      <w:r>
        <w:rPr>
          <w:b/>
          <w:bCs/>
        </w:rPr>
        <w:t xml:space="preserve">ASV4 (</w:t>
      </w:r>
      <w:r>
        <w:rPr>
          <w:b/>
          <w:bCs/>
          <w:i/>
          <w:iCs/>
        </w:rPr>
        <w:t xml:space="preserve">Gemella</w:t>
      </w:r>
      <w:r>
        <w:rPr>
          <w:b/>
          <w:bCs/>
        </w:rPr>
        <w:t xml:space="preserve">)</w:t>
      </w:r>
      <w:r>
        <w:t xml:space="preserve"> </w:t>
      </w:r>
      <w:r>
        <w:t xml:space="preserve">was identified as the strongest discriminating biomarker of AD status with an importance score of 0.0350, followed by</w:t>
      </w:r>
      <w:r>
        <w:t xml:space="preserve"> </w:t>
      </w:r>
      <w:r>
        <w:rPr>
          <w:b/>
          <w:bCs/>
        </w:rPr>
        <w:t xml:space="preserve">ASV2 (</w:t>
      </w:r>
      <w:r>
        <w:rPr>
          <w:b/>
          <w:bCs/>
          <w:i/>
          <w:iCs/>
        </w:rPr>
        <w:t xml:space="preserve">Haemophilus</w:t>
      </w:r>
      <w:r>
        <w:rPr>
          <w:b/>
          <w:bCs/>
        </w:rPr>
        <w:t xml:space="preserve">)</w:t>
      </w:r>
      <w:r>
        <w:t xml:space="preserve"> </w:t>
      </w:r>
      <w:r>
        <w:t xml:space="preserve">(0.0298),</w:t>
      </w:r>
      <w:r>
        <w:t xml:space="preserve"> </w:t>
      </w:r>
      <w:r>
        <w:rPr>
          <w:b/>
          <w:bCs/>
        </w:rPr>
        <w:t xml:space="preserve">ASV42 (</w:t>
      </w:r>
      <w:r>
        <w:rPr>
          <w:b/>
          <w:bCs/>
          <w:i/>
          <w:iCs/>
        </w:rPr>
        <w:t xml:space="preserve">Neisseria oralis</w:t>
      </w:r>
      <w:r>
        <w:rPr>
          <w:b/>
          <w:bCs/>
        </w:rPr>
        <w:t xml:space="preserve">)</w:t>
      </w:r>
      <w:r>
        <w:t xml:space="preserve"> </w:t>
      </w:r>
      <w:r>
        <w:t xml:space="preserve">(0.0217),</w:t>
      </w:r>
      <w:r>
        <w:t xml:space="preserve"> </w:t>
      </w:r>
      <w:r>
        <w:rPr>
          <w:b/>
          <w:bCs/>
        </w:rPr>
        <w:t xml:space="preserve">ASV185 (</w:t>
      </w:r>
      <w:r>
        <w:rPr>
          <w:b/>
          <w:bCs/>
          <w:i/>
          <w:iCs/>
        </w:rPr>
        <w:t xml:space="preserve">Tannerella</w:t>
      </w:r>
      <w:r>
        <w:rPr>
          <w:b/>
          <w:bCs/>
        </w:rPr>
        <w:t xml:space="preserve">)</w:t>
      </w:r>
      <w:r>
        <w:t xml:space="preserve"> </w:t>
      </w:r>
      <w:r>
        <w:t xml:space="preserve">(0.0192),</w:t>
      </w:r>
      <w:r>
        <w:t xml:space="preserve"> </w:t>
      </w:r>
      <w:r>
        <w:rPr>
          <w:b/>
          <w:bCs/>
        </w:rPr>
        <w:t xml:space="preserve">ASV207 (</w:t>
      </w:r>
      <w:r>
        <w:rPr>
          <w:b/>
          <w:bCs/>
          <w:i/>
          <w:iCs/>
        </w:rPr>
        <w:t xml:space="preserve">Centipeda</w:t>
      </w:r>
      <w:r>
        <w:rPr>
          <w:b/>
          <w:bCs/>
        </w:rPr>
        <w:t xml:space="preserve">)</w:t>
      </w:r>
      <w:r>
        <w:t xml:space="preserve"> </w:t>
      </w:r>
      <w:r>
        <w:t xml:space="preserve">(0.0188),</w:t>
      </w:r>
      <w:r>
        <w:t xml:space="preserve"> </w:t>
      </w:r>
      <w:r>
        <w:rPr>
          <w:b/>
          <w:bCs/>
        </w:rPr>
        <w:t xml:space="preserve">ASV35 (</w:t>
      </w:r>
      <w:r>
        <w:rPr>
          <w:b/>
          <w:bCs/>
          <w:i/>
          <w:iCs/>
        </w:rPr>
        <w:t xml:space="preserve">Kingella oralis</w:t>
      </w:r>
      <w:r>
        <w:rPr>
          <w:b/>
          <w:bCs/>
        </w:rPr>
        <w:t xml:space="preserve">)</w:t>
      </w:r>
      <w:r>
        <w:t xml:space="preserve"> </w:t>
      </w:r>
      <w:r>
        <w:t xml:space="preserve">(0.0181), and</w:t>
      </w:r>
      <w:r>
        <w:t xml:space="preserve"> </w:t>
      </w:r>
      <w:r>
        <w:rPr>
          <w:b/>
          <w:bCs/>
        </w:rPr>
        <w:t xml:space="preserve">ASV26 (</w:t>
      </w:r>
      <w:r>
        <w:rPr>
          <w:b/>
          <w:bCs/>
          <w:i/>
          <w:iCs/>
        </w:rPr>
        <w:t xml:space="preserve">Fusobacterium periodonticum</w:t>
      </w:r>
      <w:r>
        <w:rPr>
          <w:b/>
          <w:bCs/>
        </w:rPr>
        <w:t xml:space="preserve">)</w:t>
      </w:r>
      <w:r>
        <w:t xml:space="preserve"> </w:t>
      </w:r>
      <w:r>
        <w:t xml:space="preserve">(0.0174).</w:t>
      </w:r>
    </w:p>
    <w:p>
      <w:pPr>
        <w:pStyle w:val="FirstParagraph"/>
      </w:pPr>
      <w:r>
        <w:rPr>
          <w:b/>
          <w:bCs/>
        </w:rPr>
        <w:t xml:space="preserve">Manuscript Edits:</w:t>
      </w:r>
      <w:r>
        <w:br/>
      </w:r>
      <w:r>
        <w:t xml:space="preserve">We have rewritten the Machine Learning Results section (line 223) and the Figure 6 caption (line 225) to incorporate these exact findings. We saved the full annotated importance table as</w:t>
      </w:r>
      <w:r>
        <w:t xml:space="preserve"> </w:t>
      </w:r>
      <w:hyperlink r:id="rId20">
        <w:r>
          <w:rPr>
            <w:rStyle w:val="Hyperlink"/>
          </w:rPr>
          <w:t xml:space="preserve">rf_feature_importance.csv</w:t>
        </w:r>
      </w:hyperlink>
      <w:r>
        <w:t xml:space="preserve"> </w:t>
      </w:r>
      <w:r>
        <w:t xml:space="preserve">and generated a beautiful horizontal bar plot of the top 15 predictive biomarkers, saved as</w:t>
      </w:r>
      <w:r>
        <w:t xml:space="preserve"> </w:t>
      </w:r>
      <w:hyperlink r:id="rId21">
        <w:r>
          <w:rPr>
            <w:rStyle w:val="Hyperlink"/>
          </w:rPr>
          <w:t xml:space="preserve">rf_feature_importance.png</w:t>
        </w:r>
      </w:hyperlink>
      <w:r>
        <w:t xml:space="preserve"> </w:t>
      </w:r>
      <w:r>
        <w:t xml:space="preserve">in the manuscript directory.</w:t>
      </w:r>
    </w:p>
    <w:p>
      <w:r>
        <w:pict>
          <v:rect style="width:0;height:1.5pt" o:hralign="center" o:hrstd="t" o:hr="t"/>
        </w:pict>
      </w:r>
    </w:p>
    <w:bookmarkEnd w:id="22"/>
    <w:bookmarkEnd w:id="23"/>
    <w:bookmarkStart w:id="26" w:name="Xd7ef9fb5f8af7a572d00658f915bb9127c07d17"/>
    <w:p>
      <w:pPr>
        <w:pStyle w:val="Heading3"/>
      </w:pPr>
      <w:r>
        <w:t xml:space="preserve">Part 2: Revision Summary of Artifacts and Outputs</w:t>
      </w:r>
    </w:p>
    <w:p>
      <w:pPr>
        <w:pStyle w:val="FirstParagraph"/>
      </w:pPr>
      <w:r>
        <w:t xml:space="preserve">For verification, all updated outputs have been exported directly into your active directory: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Filename</w:t>
            </w:r>
          </w:p>
        </w:tc>
        <w:tc>
          <w:tcPr/>
          <w:p>
            <w:pPr>
              <w:pStyle w:val="Compact"/>
              <w:jc w:val="left"/>
            </w:pPr>
            <w:r>
              <w:t xml:space="preserve">Type</w:t>
            </w:r>
          </w:p>
        </w:tc>
        <w:tc>
          <w:tcPr/>
          <w:p>
            <w:pPr>
              <w:pStyle w:val="Compact"/>
              <w:jc w:val="left"/>
            </w:pPr>
            <w:r>
              <w:t xml:space="preserve">Description</w:t>
            </w:r>
          </w:p>
        </w:tc>
      </w:tr>
      <w:tr>
        <w:tc>
          <w:tcPr/>
          <w:p>
            <w:pPr>
              <w:pStyle w:val="Compact"/>
              <w:jc w:val="left"/>
            </w:pPr>
            <w:hyperlink r:id="rId24">
              <w:r>
                <w:rPr>
                  <w:rStyle w:val="Hyperlink"/>
                </w:rPr>
                <w:t xml:space="preserve">Maniuscript_Microbe_v1.docx</w:t>
              </w:r>
            </w:hyperlink>
          </w:p>
        </w:tc>
        <w:tc>
          <w:tcPr/>
          <w:p>
            <w:pPr>
              <w:pStyle w:val="Compact"/>
              <w:jc w:val="left"/>
            </w:pPr>
            <w:r>
              <w:t xml:space="preserve">Word Document</w:t>
            </w:r>
          </w:p>
        </w:tc>
        <w:tc>
          <w:tcPr/>
          <w:p>
            <w:pPr>
              <w:pStyle w:val="Compact"/>
              <w:jc w:val="left"/>
            </w:pPr>
            <w:r>
              <w:t xml:space="preserve">Active, fully revised manuscript with all changes tracked natively.</w:t>
            </w:r>
          </w:p>
        </w:tc>
      </w:tr>
      <w:tr>
        <w:tc>
          <w:tcPr/>
          <w:p>
            <w:pPr>
              <w:pStyle w:val="Compact"/>
              <w:jc w:val="left"/>
            </w:pPr>
            <w:hyperlink r:id="rId25">
              <w:r>
                <w:rPr>
                  <w:rStyle w:val="Hyperlink"/>
                </w:rPr>
                <w:t xml:space="preserve">Supplementary.docx</w:t>
              </w:r>
            </w:hyperlink>
          </w:p>
        </w:tc>
        <w:tc>
          <w:tcPr/>
          <w:p>
            <w:pPr>
              <w:pStyle w:val="Compact"/>
              <w:jc w:val="left"/>
            </w:pPr>
            <w:r>
              <w:t xml:space="preserve">Word Document</w:t>
            </w:r>
          </w:p>
        </w:tc>
        <w:tc>
          <w:tcPr/>
          <w:p>
            <w:pPr>
              <w:pStyle w:val="Compact"/>
              <w:jc w:val="left"/>
            </w:pPr>
            <w:r>
              <w:t xml:space="preserve">Revised supplementary materials file with updated Figure 2 captions.</w:t>
            </w:r>
          </w:p>
        </w:tc>
      </w:tr>
      <w:tr>
        <w:tc>
          <w:tcPr/>
          <w:p>
            <w:pPr>
              <w:pStyle w:val="Compact"/>
              <w:jc w:val="left"/>
            </w:pPr>
            <w:hyperlink r:id="rId15">
              <w:r>
                <w:rPr>
                  <w:rStyle w:val="Hyperlink"/>
                </w:rPr>
                <w:t xml:space="preserve">Fig. 2.jpg</w:t>
              </w:r>
            </w:hyperlink>
            <w:r>
              <w:t xml:space="preserve"> </w:t>
            </w:r>
            <w:r>
              <w:t xml:space="preserve">/</w:t>
            </w:r>
            <w:r>
              <w:t xml:space="preserve"> </w:t>
            </w:r>
            <w:hyperlink r:id="rId16">
              <w:r>
                <w:rPr>
                  <w:rStyle w:val="Hyperlink"/>
                </w:rPr>
                <w:t xml:space="preserve">Fig. 2.eps</w:t>
              </w:r>
            </w:hyperlink>
          </w:p>
        </w:tc>
        <w:tc>
          <w:tcPr/>
          <w:p>
            <w:pPr>
              <w:pStyle w:val="Compact"/>
              <w:jc w:val="left"/>
            </w:pPr>
            <w:r>
              <w:t xml:space="preserve">Figure</w:t>
            </w:r>
          </w:p>
        </w:tc>
        <w:tc>
          <w:tcPr/>
          <w:p>
            <w:pPr>
              <w:pStyle w:val="Compact"/>
              <w:jc w:val="left"/>
            </w:pPr>
            <w:r>
              <w:t xml:space="preserve">Reconstructed premium 300 DPI/vector Figure 2 (Bray-Curtis PCoA + ANCOM-BC2 LFC scores).</w:t>
            </w:r>
          </w:p>
        </w:tc>
      </w:tr>
      <w:tr>
        <w:tc>
          <w:tcPr/>
          <w:p>
            <w:pPr>
              <w:pStyle w:val="Compact"/>
              <w:jc w:val="left"/>
            </w:pPr>
            <w:hyperlink r:id="rId21">
              <w:r>
                <w:rPr>
                  <w:rStyle w:val="Hyperlink"/>
                </w:rPr>
                <w:t xml:space="preserve">rf_feature_importance.png</w:t>
              </w:r>
            </w:hyperlink>
          </w:p>
        </w:tc>
        <w:tc>
          <w:tcPr/>
          <w:p>
            <w:pPr>
              <w:pStyle w:val="Compact"/>
              <w:jc w:val="left"/>
            </w:pPr>
            <w:r>
              <w:t xml:space="preserve">Figure</w:t>
            </w:r>
          </w:p>
        </w:tc>
        <w:tc>
          <w:tcPr/>
          <w:p>
            <w:pPr>
              <w:pStyle w:val="Compact"/>
              <w:jc w:val="left"/>
            </w:pPr>
            <w:r>
              <w:t xml:space="preserve">Machine learning Random Forest top 15 Gini feature importances.</w:t>
            </w:r>
          </w:p>
        </w:tc>
      </w:tr>
      <w:tr>
        <w:tc>
          <w:tcPr/>
          <w:p>
            <w:pPr>
              <w:pStyle w:val="Compact"/>
              <w:jc w:val="left"/>
            </w:pPr>
            <w:hyperlink r:id="rId20">
              <w:r>
                <w:rPr>
                  <w:rStyle w:val="Hyperlink"/>
                </w:rPr>
                <w:t xml:space="preserve">rf_feature_importance.csv</w:t>
              </w:r>
            </w:hyperlink>
          </w:p>
        </w:tc>
        <w:tc>
          <w:tcPr/>
          <w:p>
            <w:pPr>
              <w:pStyle w:val="Compact"/>
              <w:jc w:val="left"/>
            </w:pPr>
            <w:r>
              <w:t xml:space="preserve">Data Table</w:t>
            </w:r>
          </w:p>
        </w:tc>
        <w:tc>
          <w:tcPr/>
          <w:p>
            <w:pPr>
              <w:pStyle w:val="Compact"/>
              <w:jc w:val="left"/>
            </w:pPr>
            <w:r>
              <w:t xml:space="preserve">Fully annotated Random Forest predictive biomarkers sorted by Gini score.</w:t>
            </w:r>
          </w:p>
        </w:tc>
      </w:tr>
      <w:tr>
        <w:tc>
          <w:tcPr/>
          <w:p>
            <w:pPr>
              <w:pStyle w:val="Compact"/>
              <w:jc w:val="left"/>
            </w:pPr>
            <w:hyperlink r:id="rId9">
              <w:r>
                <w:rPr>
                  <w:rStyle w:val="Hyperlink"/>
                </w:rPr>
                <w:t xml:space="preserve">complete_runs_inclusion_table.csv</w:t>
              </w:r>
            </w:hyperlink>
          </w:p>
        </w:tc>
        <w:tc>
          <w:tcPr/>
          <w:p>
            <w:pPr>
              <w:pStyle w:val="Compact"/>
              <w:jc w:val="left"/>
            </w:pPr>
            <w:r>
              <w:t xml:space="preserve">Data Table</w:t>
            </w:r>
          </w:p>
        </w:tc>
        <w:tc>
          <w:tcPr/>
          <w:p>
            <w:pPr>
              <w:pStyle w:val="Compact"/>
              <w:jc w:val="left"/>
            </w:pPr>
            <w:r>
              <w:t xml:space="preserve">Complete database of all 198 runs, including demographics and exclusion status.</w:t>
            </w:r>
          </w:p>
        </w:tc>
      </w:tr>
      <w:tr>
        <w:tc>
          <w:tcPr/>
          <w:p>
            <w:pPr>
              <w:pStyle w:val="Compact"/>
              <w:jc w:val="left"/>
            </w:pPr>
            <w:r>
              <w:rPr>
                <w:rStyle w:val="VerbatimChar"/>
              </w:rPr>
              <w:t xml:space="preserve">ancombc2_[rank]_results.csv</w:t>
            </w:r>
          </w:p>
        </w:tc>
        <w:tc>
          <w:tcPr/>
          <w:p>
            <w:pPr>
              <w:pStyle w:val="Compact"/>
              <w:jc w:val="left"/>
            </w:pPr>
            <w:r>
              <w:t xml:space="preserve">Data Table</w:t>
            </w:r>
          </w:p>
        </w:tc>
        <w:tc>
          <w:tcPr/>
          <w:p>
            <w:pPr>
              <w:pStyle w:val="Compact"/>
              <w:jc w:val="left"/>
            </w:pPr>
            <w:r>
              <w:t xml:space="preserve">Raw ANCOM-BC2 statistical results across all 5 ranks (Phylum to Genus).</w:t>
            </w:r>
          </w:p>
        </w:tc>
      </w:tr>
    </w:tbl>
    <w:p>
      <w:pPr>
        <w:pStyle w:val="BodyText"/>
      </w:pPr>
      <w:r>
        <w:t xml:space="preserve">We are confident that these revisions fully resolve every reviewer comment and significantly elevate the manuscript to the highest academic standards. We look forward to your feedback and are ready to proceed with submission!</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file:///Volumes/edKwamiBackUP/Manuscripts/Submitted/AD.Oral/Fig.2.eps" TargetMode="External" /><Relationship Type="http://schemas.openxmlformats.org/officeDocument/2006/relationships/hyperlink" Id="rId15" Target="file:///Volumes/edKwamiBackUP/Manuscripts/Submitted/AD.Oral/Fig.2.jpg" TargetMode="External" /><Relationship Type="http://schemas.openxmlformats.org/officeDocument/2006/relationships/hyperlink" Id="rId24" Target="file:///Volumes/edKwamiBackUP/Manuscripts/Submitted/AD.Oral/Maniuscript_Microbe_v1.docx" TargetMode="External" /><Relationship Type="http://schemas.openxmlformats.org/officeDocument/2006/relationships/hyperlink" Id="rId25" Target="file:///Volumes/edKwamiBackUP/Manuscripts/Submitted/AD.Oral/Supplementary.docx" TargetMode="External" /><Relationship Type="http://schemas.openxmlformats.org/officeDocument/2006/relationships/hyperlink" Id="rId9" Target="file:///Volumes/edKwamiBackUP/Manuscripts/Submitted/AD.Oral/complete_runs_inclusion_table.csv" TargetMode="External" /><Relationship Type="http://schemas.openxmlformats.org/officeDocument/2006/relationships/hyperlink" Id="rId10" Target="file:///Volumes/edKwamiBackUP/Manuscripts/Submitted/AD.Oral/demographics_summary_table.csv" TargetMode="External" /><Relationship Type="http://schemas.openxmlformats.org/officeDocument/2006/relationships/hyperlink" Id="rId11" Target="file:///Volumes/edKwamiBackUP/Manuscripts/Submitted/AD.Oral/fecal_differential_abundance.csv" TargetMode="External" /><Relationship Type="http://schemas.openxmlformats.org/officeDocument/2006/relationships/hyperlink" Id="rId20" Target="file:///Volumes/edKwamiBackUP/Manuscripts/Submitted/AD.Oral/rf_feature_importance.csv" TargetMode="External" /><Relationship Type="http://schemas.openxmlformats.org/officeDocument/2006/relationships/hyperlink" Id="rId21" Target="file:///Volumes/edKwamiBackUP/Manuscripts/Submitted/AD.Oral/rf_feature_importance.png" TargetMode="External" /></Relationships>
</file>

<file path=word/_rels/footnotes.xml.rels><?xml version="1.0" encoding="UTF-8"?><Relationships xmlns="http://schemas.openxmlformats.org/package/2006/relationships"><Relationship Type="http://schemas.openxmlformats.org/officeDocument/2006/relationships/hyperlink" Id="rId16" Target="file:///Volumes/edKwamiBackUP/Manuscripts/Submitted/AD.Oral/Fig.2.eps" TargetMode="External" /><Relationship Type="http://schemas.openxmlformats.org/officeDocument/2006/relationships/hyperlink" Id="rId15" Target="file:///Volumes/edKwamiBackUP/Manuscripts/Submitted/AD.Oral/Fig.2.jpg" TargetMode="External" /><Relationship Type="http://schemas.openxmlformats.org/officeDocument/2006/relationships/hyperlink" Id="rId24" Target="file:///Volumes/edKwamiBackUP/Manuscripts/Submitted/AD.Oral/Maniuscript_Microbe_v1.docx" TargetMode="External" /><Relationship Type="http://schemas.openxmlformats.org/officeDocument/2006/relationships/hyperlink" Id="rId25" Target="file:///Volumes/edKwamiBackUP/Manuscripts/Submitted/AD.Oral/Supplementary.docx" TargetMode="External" /><Relationship Type="http://schemas.openxmlformats.org/officeDocument/2006/relationships/hyperlink" Id="rId9" Target="file:///Volumes/edKwamiBackUP/Manuscripts/Submitted/AD.Oral/complete_runs_inclusion_table.csv" TargetMode="External" /><Relationship Type="http://schemas.openxmlformats.org/officeDocument/2006/relationships/hyperlink" Id="rId10" Target="file:///Volumes/edKwamiBackUP/Manuscripts/Submitted/AD.Oral/demographics_summary_table.csv" TargetMode="External" /><Relationship Type="http://schemas.openxmlformats.org/officeDocument/2006/relationships/hyperlink" Id="rId11" Target="file:///Volumes/edKwamiBackUP/Manuscripts/Submitted/AD.Oral/fecal_differential_abundance.csv" TargetMode="External" /><Relationship Type="http://schemas.openxmlformats.org/officeDocument/2006/relationships/hyperlink" Id="rId20" Target="file:///Volumes/edKwamiBackUP/Manuscripts/Submitted/AD.Oral/rf_feature_importance.csv" TargetMode="External" /><Relationship Type="http://schemas.openxmlformats.org/officeDocument/2006/relationships/hyperlink" Id="rId21" Target="file:///Volumes/edKwamiBackUP/Manuscripts/Submitted/AD.Oral/rf_feature_importance.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2026-05-17T14:44:18Z</dcterms:created>
  <dcterms:modified xsi:type="dcterms:W3CDTF">2026-05-17T14:44:18Z</dcterms:modified>
</cp:coreProperties>
</file>

<file path=docProps/custom.xml><?xml version="1.0" encoding="utf-8"?>
<Properties xmlns="http://schemas.openxmlformats.org/officeDocument/2006/custom-properties" xmlns:vt="http://schemas.openxmlformats.org/officeDocument/2006/docPropsVTypes"/>
</file>