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ndara" w:hAnsi="Candara"/>
          <w:b/>
          <w:sz w:val="28"/>
        </w:rPr>
        <w:t>Reviewer Response Table — Maniuscript_Microbe_v2.docx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fill="2F5496" w:val="clear"/>
          </w:tcPr>
          <w:p>
            <w:pPr>
              <w:jc w:val="center"/>
            </w:pPr>
            <w:r>
              <w:rPr>
                <w:rFonts w:ascii="Candara" w:hAnsi="Candara"/>
                <w:b/>
                <w:color w:val="FFFFFF"/>
                <w:sz w:val="22"/>
              </w:rPr>
              <w:t>Comment</w:t>
            </w:r>
          </w:p>
        </w:tc>
        <w:tc>
          <w:tcPr>
            <w:tcW w:type="dxa" w:w="3600"/>
            <w:shd w:fill="2F5496" w:val="clear"/>
          </w:tcPr>
          <w:p>
            <w:pPr>
              <w:jc w:val="center"/>
            </w:pPr>
            <w:r>
              <w:rPr>
                <w:rFonts w:ascii="Candara" w:hAnsi="Candara"/>
                <w:b/>
                <w:color w:val="FFFFFF"/>
                <w:sz w:val="22"/>
              </w:rPr>
              <w:t>Reviewer Request</w:t>
            </w:r>
          </w:p>
        </w:tc>
        <w:tc>
          <w:tcPr>
            <w:tcW w:type="dxa" w:w="2304"/>
            <w:shd w:fill="2F5496" w:val="clear"/>
          </w:tcPr>
          <w:p>
            <w:pPr>
              <w:jc w:val="center"/>
            </w:pPr>
            <w:r>
              <w:rPr>
                <w:rFonts w:ascii="Candara" w:hAnsi="Candara"/>
                <w:b/>
                <w:color w:val="FFFFFF"/>
                <w:sz w:val="22"/>
              </w:rPr>
              <w:t>Manuscript Location</w:t>
            </w:r>
          </w:p>
        </w:tc>
        <w:tc>
          <w:tcPr>
            <w:tcW w:type="dxa" w:w="5040"/>
            <w:shd w:fill="2F5496" w:val="clear"/>
          </w:tcPr>
          <w:p>
            <w:pPr>
              <w:jc w:val="center"/>
            </w:pPr>
            <w:r>
              <w:rPr>
                <w:rFonts w:ascii="Candara" w:hAnsi="Candara"/>
                <w:b/>
                <w:color w:val="FFFFFF"/>
                <w:sz w:val="22"/>
              </w:rPr>
              <w:t>Action Taken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b/>
                <w:sz w:val="20"/>
              </w:rPr>
              <w:t>R1.C1</w:t>
            </w:r>
          </w:p>
        </w:tc>
        <w:tc>
          <w:tcPr>
            <w:tcW w:type="dxa" w:w="360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Provide metadata table of included SRR runs</w:t>
            </w:r>
          </w:p>
        </w:tc>
        <w:tc>
          <w:tcPr>
            <w:tcW w:type="dxa" w:w="2304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p.6, l.23-25</w:t>
            </w:r>
          </w:p>
        </w:tc>
        <w:tc>
          <w:tcPr>
            <w:tcW w:type="dxa" w:w="504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P49: Table 1 with run inclusions/exclusions and demographics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Perform fecal-only analysis on same cohort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p.17, l.1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P123–130: Fecal-only microbiome analysis section added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360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Perform combined oral+fecal analysis</w:t>
            </w:r>
          </w:p>
        </w:tc>
        <w:tc>
          <w:tcPr>
            <w:tcW w:type="dxa" w:w="2304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p.18, l.13</w:t>
            </w:r>
          </w:p>
        </w:tc>
        <w:tc>
          <w:tcPr>
            <w:tcW w:type="dxa" w:w="504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P132–136: Combined multi-niche comparison with PCA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rFonts w:ascii="Candara" w:hAnsi="Candara"/>
                <w:b/>
                <w:sz w:val="20"/>
              </w:rPr>
              <w:t>R1.C2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Provide ASV table from DADA2 pipeline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p.8, l.11-23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P60: DADA2 methods described; ASV table in supplementary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b/>
                <w:sz w:val="20"/>
              </w:rPr>
              <w:t>R1.C3</w:t>
            </w:r>
          </w:p>
        </w:tc>
        <w:tc>
          <w:tcPr>
            <w:tcW w:type="dxa" w:w="360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Include HOMD 16S rRNA reference for taxonomy</w:t>
            </w:r>
          </w:p>
        </w:tc>
        <w:tc>
          <w:tcPr>
            <w:tcW w:type="dxa" w:w="2304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p.8, l.11-23</w:t>
            </w:r>
          </w:p>
        </w:tc>
        <w:tc>
          <w:tcPr>
            <w:tcW w:type="dxa" w:w="504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P60: Added HOMD v15.2 with priority over SILVA for oral taxa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rFonts w:ascii="Candara" w:hAnsi="Candara"/>
                <w:b/>
                <w:sz w:val="20"/>
              </w:rPr>
              <w:t>R1.C4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Perform species-level taxonomy assignment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p.8, l.11-23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P60: addSpecies function from DADA2 used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360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2304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p.21, l.10-18</w:t>
            </w:r>
          </w:p>
        </w:tc>
        <w:tc>
          <w:tcPr>
            <w:tcW w:type="dxa" w:w="504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P147: Limitations of species-level resolution noted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rFonts w:ascii="Candara" w:hAnsi="Candara"/>
                <w:b/>
                <w:sz w:val="20"/>
              </w:rPr>
              <w:t>R1.C5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Upgrade to ANCOM-BC2; report CLR + adjusted q-values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p.9, l.17-25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P66: ANCOM-BC2 v2.0.0, LFC + BH-adjusted q-values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360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2304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p.11, l.15-21</w:t>
            </w:r>
          </w:p>
        </w:tc>
        <w:tc>
          <w:tcPr>
            <w:tcW w:type="dxa" w:w="504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P80–82: All results report LFC + q-values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rFonts w:ascii="Candara" w:hAnsi="Candara"/>
                <w:b/>
                <w:sz w:val="20"/>
              </w:rPr>
              <w:t>R1.C6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Replace percentage bar charts with CLR/LFC reporting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p.11, l.8-13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P79: Abundance as LFC + q-values, not percentages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360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2304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p.12, l.16-18</w:t>
            </w:r>
          </w:p>
        </w:tc>
        <w:tc>
          <w:tcPr>
            <w:tcW w:type="dxa" w:w="504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P86: Fig. 2 states ANCOM-BC2 CLR-based analysis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rFonts w:ascii="Candara" w:hAnsi="Candara"/>
                <w:b/>
                <w:sz w:val="20"/>
              </w:rPr>
              <w:t>R1.C7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Correct "species richness" → "genus richness"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p.9, l.4-12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P63: Alpha diversity at genus level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360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2304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p.12, l.23-29</w:t>
            </w:r>
          </w:p>
        </w:tc>
        <w:tc>
          <w:tcPr>
            <w:tcW w:type="dxa" w:w="504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P89: "greater genus richness"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rFonts w:ascii="Candara" w:hAnsi="Candara"/>
                <w:b/>
                <w:sz w:val="20"/>
              </w:rPr>
              <w:t>R1.C8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State taxonomic level for beta-diversity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p.9, l.4-12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P63: Beta diversity at genus level, CLR-transformed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360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2304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p.13, l.10-15</w:t>
            </w:r>
          </w:p>
        </w:tc>
        <w:tc>
          <w:tcPr>
            <w:tcW w:type="dxa" w:w="504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P95: "at the genus level"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rFonts w:ascii="Candara" w:hAnsi="Candara"/>
                <w:b/>
                <w:sz w:val="20"/>
              </w:rPr>
              <w:t>R1.C9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Remove "gene expression"; replace "up/down regulated"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p.9, l.17-25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P66: "predicted functional potential, not actual gene expression"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360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2304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p.3, l.1-10</w:t>
            </w:r>
          </w:p>
        </w:tc>
        <w:tc>
          <w:tcPr>
            <w:tcW w:type="dxa" w:w="504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P19: "increase in predicted biosynthetic pathway potential"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p.14, l.11-21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P103: "increase in predicted biosynthetic pathway abundance"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360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2304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p.20, l.11-19</w:t>
            </w:r>
          </w:p>
        </w:tc>
        <w:tc>
          <w:tcPr>
            <w:tcW w:type="dxa" w:w="504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P142: "increase in predicted biosynthetic pathway abundance"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p.22, l.4-11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P151: "increased abundance of predicted pathways"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b/>
                <w:sz w:val="20"/>
              </w:rPr>
              <w:t>R1.C10</w:t>
            </w:r>
          </w:p>
        </w:tc>
        <w:tc>
          <w:tcPr>
            <w:tcW w:type="dxa" w:w="360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ML on CLR-transformed data; report influential taxa</w:t>
            </w:r>
          </w:p>
        </w:tc>
        <w:tc>
          <w:tcPr>
            <w:tcW w:type="dxa" w:w="2304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p.10, l.4-13</w:t>
            </w:r>
          </w:p>
        </w:tc>
        <w:tc>
          <w:tcPr>
            <w:tcW w:type="dxa" w:w="504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P69: CLR-transformed ASVs with SelectFromModel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p.15, l.22-29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P110: Top features Tannerella, Gemella, Haemophilus</w:t>
            </w:r>
          </w:p>
        </w:tc>
      </w:tr>
      <w:tr>
        <w:tc>
          <w:tcPr>
            <w:tcW w:type="dxa" w:w="1296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b/>
                <w:sz w:val="20"/>
              </w:rPr>
              <w:t>R6.C1</w:t>
            </w:r>
          </w:p>
        </w:tc>
        <w:tc>
          <w:tcPr>
            <w:tcW w:type="dxa" w:w="360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8 keywords avoiding title-word overlap</w:t>
            </w:r>
          </w:p>
        </w:tc>
        <w:tc>
          <w:tcPr>
            <w:tcW w:type="dxa" w:w="2304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p.3, l.20-22</w:t>
            </w:r>
          </w:p>
        </w:tc>
        <w:tc>
          <w:tcPr>
            <w:tcW w:type="dxa" w:w="5040"/>
            <w:shd w:fill="D6E4F0" w:val="clear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P22: 8 new keywords from reviewer feedback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>
              <w:rPr>
                <w:rFonts w:ascii="Candara" w:hAnsi="Candara"/>
                <w:b/>
                <w:sz w:val="20"/>
              </w:rPr>
              <w:t>R6.C2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Add future research recommendations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p.21, l.20-29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rFonts w:ascii="Candara" w:hAnsi="Candara"/>
                <w:sz w:val="20"/>
              </w:rPr>
              <w:t>P148: Longitudinal, multi-omics, mechanistic directions</w:t>
            </w:r>
          </w:p>
        </w:tc>
      </w:tr>
    </w:tbl>
    <w:p/>
    <w:p>
      <w:pPr>
        <w:jc w:val="center"/>
      </w:pPr>
      <w:r>
        <w:rPr>
          <w:rFonts w:ascii="Candara" w:hAnsi="Candara"/>
          <w:i/>
          <w:color w:val="808080"/>
          <w:sz w:val="18"/>
        </w:rPr>
        <w:t>Page and line numbers are estimates based on Times New Roman 12pt, double-spaced, US Letter (78 chars/line, 24 lines/page).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60"/>
    </w:pPr>
    <w:rPr>
      <w:rFonts w:ascii="Candara" w:hAnsi="Candar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