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  <w:r>
        <w:t xml:space="preserve"/>
      </w:r>
    </w:p>
    <w:p>
      <w:pPr>
        <w:spacing w:after="80"/>
        <w:jc w:val="center"/>
      </w:pPr>
      <w:r>
        <w:rPr>
          <w:rFonts w:ascii="Montserrat" w:cs="Montserrat" w:eastAsia="Montserrat" w:hAnsi="Montserrat"/>
          <w:b/>
          <w:bCs/>
          <w:color w:val="031C37"/>
          <w:sz w:val="72"/>
          <w:szCs w:val="72"/>
        </w:rPr>
        <w:t xml:space="preserve">EJUP</w:t>
      </w:r>
    </w:p>
    <w:p>
      <w:pPr>
        <w:spacing w:after="40"/>
        <w:jc w:val="center"/>
      </w:pPr>
      <w:r>
        <w:rPr>
          <w:rFonts w:ascii="Montserrat" w:cs="Montserrat" w:eastAsia="Montserrat" w:hAnsi="Montserrat"/>
          <w:b/>
          <w:bCs/>
          <w:color w:val="F0B855"/>
          <w:spacing w:val="40"/>
          <w:sz w:val="22"/>
          <w:szCs w:val="22"/>
        </w:rPr>
        <w:t xml:space="preserve">EDUCAÇÃO JURÍDICA</w:t>
      </w:r>
    </w:p>
    <w:p>
      <w:pPr>
        <w:pBdr>
          <w:top w:val="single" w:color="F0B855" w:sz="10" w:space="14"/>
        </w:pBdr>
        <w:spacing w:after="40" w:before="900"/>
        <w:jc w:val="center"/>
      </w:pPr>
      <w:r>
        <w:rPr>
          <w:rFonts w:ascii="Montserrat" w:cs="Montserrat" w:eastAsia="Montserrat" w:hAnsi="Montserrat"/>
          <w:b/>
          <w:bCs/>
          <w:color w:val="304557"/>
          <w:spacing w:val="20"/>
          <w:sz w:val="34"/>
          <w:szCs w:val="34"/>
        </w:rPr>
        <w:t xml:space="preserve">DOSSIÊ DA MARCA</w:t>
      </w:r>
    </w:p>
    <w:p>
      <w:pPr>
        <w:spacing w:after="1600" w:before="260"/>
        <w:jc w:val="center"/>
      </w:pPr>
      <w:r>
        <w:rPr>
          <w:rFonts w:ascii="Montserrat" w:cs="Montserrat" w:eastAsia="Montserrat" w:hAnsi="Montserrat"/>
          <w:i/>
          <w:iCs/>
          <w:color w:val="5F6062"/>
          <w:sz w:val="24"/>
          <w:szCs w:val="24"/>
        </w:rPr>
        <w:t xml:space="preserve">Alma clássica, repertório contemporâneo.</w:t>
      </w:r>
    </w:p>
    <w:p>
      <w:pPr>
        <w:spacing w:before="3200"/>
        <w:jc w:val="center"/>
      </w:pPr>
      <w:r>
        <w:rPr>
          <w:rFonts w:ascii="Montserrat" w:cs="Montserrat" w:eastAsia="Montserrat" w:hAnsi="Montserrat"/>
          <w:color w:val="5F6062"/>
          <w:sz w:val="19"/>
          <w:szCs w:val="19"/>
        </w:rPr>
        <w:t xml:space="preserve">Documento de referência de marca para produção de conteúdo, campanha e peça institucional.</w:t>
      </w:r>
    </w:p>
    <w:p>
      <w:pPr>
        <w:spacing w:before="120"/>
        <w:jc w:val="center"/>
      </w:pPr>
      <w:r>
        <w:rPr>
          <w:rFonts w:ascii="Montserrat" w:cs="Montserrat" w:eastAsia="Montserrat" w:hAnsi="Montserrat"/>
          <w:i/>
          <w:iCs/>
          <w:color w:val="5F6062"/>
          <w:sz w:val="17"/>
          <w:szCs w:val="17"/>
        </w:rPr>
        <w:t xml:space="preserve">Fontes: Manual de Identidade Visual (MIV) 2026 · Manual da Marca · CLAUDE.md (guardião da marca)</w:t>
      </w:r>
    </w:p>
    <w:p>
      <w:pPr>
        <w:sectPr>
          <w:pgSz w:w="11907" w:h="16840" w:orient="portrait"/>
          <w:pgMar w:top="1600" w:right="1400" w:bottom="1600" w:left="14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0B855" w:sz="6" w:space="8"/>
        </w:pBdr>
        <w:spacing w:after="200" w:before="480"/>
      </w:pPr>
      <w:r>
        <w:rPr>
          <w:rFonts w:ascii="Montserrat" w:cs="Montserrat" w:eastAsia="Montserrat" w:hAnsi="Montserrat"/>
          <w:b/>
          <w:bCs/>
          <w:color w:val="031C37"/>
          <w:sz w:val="30"/>
          <w:szCs w:val="30"/>
        </w:rPr>
        <w:t xml:space="preserve">Identidade</w:t>
      </w:r>
    </w:p>
    <w:p>
      <w:pPr>
        <w:spacing w:after="16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A EJUP — Escola Jurídica é uma plataforma de educação jurídica digital de alto nível. Sua missão é transformar o notório saber jurídico em soluções educacionais estratégicas, conectando especialistas ao mercado e capacitando profissionais para a excelência na prática do Direito. A visão institucional é consolidar-se como a escola jurídica referência nacional em educação estratégica e formação de líderes.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304557"/>
          <w:sz w:val="22"/>
          <w:szCs w:val="22"/>
        </w:rPr>
        <w:t xml:space="preserve">Quem é</w:t>
      </w:r>
    </w:p>
    <w:p>
      <w:pPr>
        <w:spacing w:after="16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Guiada pelos arquétipos Sábio (dominante) e Mago (secundário), a EJUP sustenta rigor, tradição e densidade teórica, e opera a tradução consciente desse repertório para o presente — sem vulgarizar. Sua postura é firme, elegante e reflexiva: autoridade silenciosa, nunca autoridade declarada.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304557"/>
          <w:sz w:val="22"/>
          <w:szCs w:val="22"/>
        </w:rPr>
        <w:t xml:space="preserve">Para quem</w:t>
      </w:r>
    </w:p>
    <w:p>
      <w:pPr>
        <w:spacing w:after="16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Público primário: advogados, juristas, professores, pesquisadores e profissionais do Direito que tratam o aprendizado como percurso cumulativo, respeitam densidade teórica e investem tempo na própria formação.</w:t>
      </w:r>
    </w:p>
    <w:p>
      <w:pPr>
        <w:spacing w:after="16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Público secundário: juristas em amadurecimento que ainda não se consolidaram, mas aspiram a esse padrão — para eles, a EJUP funciona como horizonte de pertencimento e régua de qualidade.</w:t>
      </w:r>
    </w:p>
    <w:p>
      <w:pPr>
        <w:spacing w:after="16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Anti-público — nunca cortejado: quem busca atalho formativo, promessa de resultado imediato, solução simplificada para problema complexo, ou visibilidade acima de substância.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304557"/>
          <w:sz w:val="22"/>
          <w:szCs w:val="22"/>
        </w:rPr>
        <w:t xml:space="preserve">O que NÃO é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Não é curso de atalho, fórmula replicável ou promessa de resultado instantâneo.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Não é infoprodutor de guru jurídico nem posa de antagonista do ensino formal ou das instituições.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Não é oposição ruidosa ao Direito tradicional — é seu prolongamento qualificado: nem nostalgia, nem ruptura. Ponte.</w:t>
      </w:r>
    </w:p>
    <w:p>
      <w:pPr>
        <w:pStyle w:val="Heading1"/>
        <w:pBdr>
          <w:bottom w:val="single" w:color="F0B855" w:sz="6" w:space="8"/>
        </w:pBdr>
        <w:spacing w:after="200" w:before="480"/>
      </w:pPr>
      <w:r>
        <w:rPr>
          <w:rFonts w:ascii="Montserrat" w:cs="Montserrat" w:eastAsia="Montserrat" w:hAnsi="Montserrat"/>
          <w:b/>
          <w:bCs/>
          <w:color w:val="031C37"/>
          <w:sz w:val="30"/>
          <w:szCs w:val="30"/>
        </w:rPr>
        <w:t xml:space="preserve">Voz</w:t>
      </w:r>
    </w:p>
    <w:p>
      <w:pPr>
        <w:spacing w:after="16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A voz da EJUP é a de uma autoridade silenciosa: fala com calma, densidade e precisão. Prefere frases afirmativas, curtas e com peso — ritmo de manifesto quando o momento pede. Pressupõe repertório do leitor e não explica o óbvio. Argumento sólido sempre supera sedução retórica; densidade sempre supera volume.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304557"/>
          <w:sz w:val="22"/>
          <w:szCs w:val="22"/>
        </w:rPr>
        <w:t xml:space="preserve">Princípios de fala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Nomeia o inimigo cultural — a pressa, o raso — sem atacar pessoas ou instituições.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Convida à exigência: seleciona em vez de abraçar todo mundo.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Trata tecnologia e IA sempre como ferramenta a serviço do pensamento, nunca como espetáculo ou identidade.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Fala em primeira pessoa do plural para afirmar convicção ("Defendemos o tempo do estudo") e em terceira pessoa para descrever a si mesma. Nunca em superlativo — a autoridade é percebida, não declarada.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304557"/>
          <w:sz w:val="22"/>
          <w:szCs w:val="22"/>
        </w:rPr>
        <w:t xml:space="preserve">Nunca dizer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Urgência artificial: "últimas vagas", "corre", "só hoje", contador regressivo como argumento central.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Promessa de resultado replicável: "método infalível", "passo a passo definitivo", "em 7 dias".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Hipérbole vazia: "revolucionário", "incrível", "imperdível", "o melhor do Brasil".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Emoji como muleta de tom, caixa alta gritada, excesso de exclamação.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Isca de engajamento ("comenta EU QUERO"), dor fabricada, chamada apelativa.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Jargão de guru de negócios digitais aplicado ao Direito: "hack", "destravar", "escalar", "dominar em X dias", "descomplicar o Direito".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Travessão solto entre palavras no meio do texto, e a construção "não é sobre X, é sobre Y".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304557"/>
          <w:sz w:val="22"/>
          <w:szCs w:val="22"/>
        </w:rPr>
        <w:t xml:space="preserve">Palavras da casa</w:t>
      </w:r>
    </w:p>
    <w:p>
      <w:pPr>
        <w:spacing w:after="160" w:line="300"/>
        <w:jc w:val="both"/>
      </w:pPr>
      <w:r>
        <w:rPr>
          <w:rFonts w:ascii="Montserrat" w:cs="Montserrat" w:eastAsia="Montserrat" w:hAnsi="Montserrat"/>
          <w:b w:val="false"/>
          <w:bCs w:val="false"/>
          <w:color w:val="414042"/>
          <w:sz w:val="21"/>
          <w:szCs w:val="21"/>
        </w:rPr>
        <w:t xml:space="preserve">formação · densidade · critério · repertório · legitimidade · travessia · percurso · rigor · notório saber · tradição viva · elevação de padrão · interpretar (≠ reagir) · ponte · patamar · profundidade.</w:t>
      </w:r>
    </w:p>
    <w:p>
      <w:pPr>
        <w:pStyle w:val="Heading1"/>
        <w:pBdr>
          <w:bottom w:val="single" w:color="F0B855" w:sz="6" w:space="8"/>
        </w:pBdr>
        <w:spacing w:after="200" w:before="480"/>
      </w:pPr>
      <w:r>
        <w:rPr>
          <w:rFonts w:ascii="Montserrat" w:cs="Montserrat" w:eastAsia="Montserrat" w:hAnsi="Montserrat"/>
          <w:b/>
          <w:bCs/>
          <w:color w:val="031C37"/>
          <w:sz w:val="30"/>
          <w:szCs w:val="30"/>
        </w:rPr>
        <w:t xml:space="preserve">Exemplos</w:t>
      </w:r>
    </w:p>
    <w:p>
      <w:pPr>
        <w:spacing w:after="16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Trechos reais do manifesto e da assinatura da marca, usados como matéria-prima de tom — não como bloco a ser copiado literalmente em toda peça.</w:t>
      </w:r>
    </w:p>
    <w:p>
      <w:pPr>
        <w:pBdr>
          <w:left w:val="single" w:color="F0B855" w:sz="18" w:space="12"/>
        </w:pBdr>
        <w:spacing w:after="220" w:before="100" w:line="300"/>
        <w:ind w:left="360"/>
      </w:pPr>
      <w:r>
        <w:rPr>
          <w:rFonts w:ascii="Montserrat" w:cs="Montserrat" w:eastAsia="Montserrat" w:hAnsi="Montserrat"/>
          <w:i/>
          <w:iCs/>
          <w:color w:val="031C37"/>
          <w:sz w:val="22"/>
          <w:szCs w:val="22"/>
        </w:rPr>
        <w:t xml:space="preserve">“Alma clássica, repertório contemporâneo.”</w:t>
      </w:r>
    </w:p>
    <w:p>
      <w:pPr>
        <w:pBdr>
          <w:left w:val="single" w:color="F0B855" w:sz="18" w:space="12"/>
        </w:pBdr>
        <w:spacing w:after="220" w:before="100" w:line="300"/>
        <w:ind w:left="360"/>
      </w:pPr>
      <w:r>
        <w:rPr>
          <w:rFonts w:ascii="Montserrat" w:cs="Montserrat" w:eastAsia="Montserrat" w:hAnsi="Montserrat"/>
          <w:i/>
          <w:iCs/>
          <w:color w:val="031C37"/>
          <w:sz w:val="22"/>
          <w:szCs w:val="22"/>
        </w:rPr>
        <w:t xml:space="preserve">“O Direito está sendo empurrado para a pressa. E toda pressa, no Direito, cobra um preço.”</w:t>
      </w:r>
    </w:p>
    <w:p>
      <w:pPr>
        <w:pBdr>
          <w:left w:val="single" w:color="F0B855" w:sz="18" w:space="12"/>
        </w:pBdr>
        <w:spacing w:after="220" w:before="100" w:line="300"/>
        <w:ind w:left="360"/>
      </w:pPr>
      <w:r>
        <w:rPr>
          <w:rFonts w:ascii="Montserrat" w:cs="Montserrat" w:eastAsia="Montserrat" w:hAnsi="Montserrat"/>
          <w:i/>
          <w:iCs/>
          <w:color w:val="031C37"/>
          <w:sz w:val="22"/>
          <w:szCs w:val="22"/>
        </w:rPr>
        <w:t xml:space="preserve">“Criaram um mercado onde estudar profundamente parece excesso e simplificar demais parece virtude. Nós recusamos esse mundo.”</w:t>
      </w:r>
    </w:p>
    <w:p>
      <w:pPr>
        <w:pBdr>
          <w:left w:val="single" w:color="F0B855" w:sz="18" w:space="12"/>
        </w:pBdr>
        <w:spacing w:after="220" w:before="100" w:line="300"/>
        <w:ind w:left="360"/>
      </w:pPr>
      <w:r>
        <w:rPr>
          <w:rFonts w:ascii="Montserrat" w:cs="Montserrat" w:eastAsia="Montserrat" w:hAnsi="Montserrat"/>
          <w:i/>
          <w:iCs/>
          <w:color w:val="031C37"/>
          <w:sz w:val="22"/>
          <w:szCs w:val="22"/>
        </w:rPr>
        <w:t xml:space="preserve">“O saber jurídico não é método. Não é atalho. Não é promessa replicável.”</w:t>
      </w:r>
    </w:p>
    <w:p>
      <w:pPr>
        <w:pBdr>
          <w:left w:val="single" w:color="F0B855" w:sz="18" w:space="12"/>
        </w:pBdr>
        <w:spacing w:after="220" w:before="100" w:line="300"/>
        <w:ind w:left="360"/>
      </w:pPr>
      <w:r>
        <w:rPr>
          <w:rFonts w:ascii="Montserrat" w:cs="Montserrat" w:eastAsia="Montserrat" w:hAnsi="Montserrat"/>
          <w:i/>
          <w:iCs/>
          <w:color w:val="031C37"/>
          <w:sz w:val="22"/>
          <w:szCs w:val="22"/>
        </w:rPr>
        <w:t xml:space="preserve">“A EJUP existe para ocupar o espaço que a pressa abandonou.”</w:t>
      </w:r>
    </w:p>
    <w:p>
      <w:pPr>
        <w:pBdr>
          <w:left w:val="single" w:color="F0B855" w:sz="18" w:space="12"/>
        </w:pBdr>
        <w:spacing w:after="220" w:before="100" w:line="300"/>
        <w:ind w:left="360"/>
      </w:pPr>
      <w:r>
        <w:rPr>
          <w:rFonts w:ascii="Montserrat" w:cs="Montserrat" w:eastAsia="Montserrat" w:hAnsi="Montserrat"/>
          <w:i/>
          <w:iCs/>
          <w:color w:val="031C37"/>
          <w:sz w:val="22"/>
          <w:szCs w:val="22"/>
        </w:rPr>
        <w:t xml:space="preserve">“Aqui, tecnologia é ferramenta. Não substituta do pensamento.”</w:t>
      </w:r>
    </w:p>
    <w:p>
      <w:pPr>
        <w:pBdr>
          <w:left w:val="single" w:color="F0B855" w:sz="18" w:space="12"/>
        </w:pBdr>
        <w:spacing w:after="220" w:before="100" w:line="300"/>
        <w:ind w:left="360"/>
      </w:pPr>
      <w:r>
        <w:rPr>
          <w:rFonts w:ascii="Montserrat" w:cs="Montserrat" w:eastAsia="Montserrat" w:hAnsi="Montserrat"/>
          <w:i/>
          <w:iCs/>
          <w:color w:val="031C37"/>
          <w:sz w:val="22"/>
          <w:szCs w:val="22"/>
        </w:rPr>
        <w:t xml:space="preserve">“Aqui, inovação é integração. Não ruptura vazia.”</w:t>
      </w:r>
    </w:p>
    <w:p>
      <w:pPr>
        <w:pBdr>
          <w:left w:val="single" w:color="F0B855" w:sz="18" w:space="12"/>
        </w:pBdr>
        <w:spacing w:after="220" w:before="100" w:line="300"/>
        <w:ind w:left="360"/>
      </w:pPr>
      <w:r>
        <w:rPr>
          <w:rFonts w:ascii="Montserrat" w:cs="Montserrat" w:eastAsia="Montserrat" w:hAnsi="Montserrat"/>
          <w:i/>
          <w:iCs/>
          <w:color w:val="031C37"/>
          <w:sz w:val="22"/>
          <w:szCs w:val="22"/>
        </w:rPr>
        <w:t xml:space="preserve">“Relevância nasce da profundidade, e não da exposição.”</w:t>
      </w:r>
    </w:p>
    <w:p>
      <w:pPr>
        <w:pBdr>
          <w:left w:val="single" w:color="F0B855" w:sz="18" w:space="12"/>
        </w:pBdr>
        <w:spacing w:after="220" w:before="100" w:line="300"/>
        <w:ind w:left="360"/>
      </w:pPr>
      <w:r>
        <w:rPr>
          <w:rFonts w:ascii="Montserrat" w:cs="Montserrat" w:eastAsia="Montserrat" w:hAnsi="Montserrat"/>
          <w:i/>
          <w:iCs/>
          <w:color w:val="031C37"/>
          <w:sz w:val="22"/>
          <w:szCs w:val="22"/>
        </w:rPr>
        <w:t xml:space="preserve">“Não formamos operadores de tendência. Formamos intérpretes do seu tempo.”</w:t>
      </w:r>
    </w:p>
    <w:p>
      <w:pPr>
        <w:pBdr>
          <w:left w:val="single" w:color="F0B855" w:sz="18" w:space="12"/>
        </w:pBdr>
        <w:spacing w:after="220" w:before="100" w:line="300"/>
        <w:ind w:left="360"/>
      </w:pPr>
      <w:r>
        <w:rPr>
          <w:rFonts w:ascii="Montserrat" w:cs="Montserrat" w:eastAsia="Montserrat" w:hAnsi="Montserrat"/>
          <w:i/>
          <w:iCs/>
          <w:color w:val="031C37"/>
          <w:sz w:val="22"/>
          <w:szCs w:val="22"/>
        </w:rPr>
        <w:t xml:space="preserve">“Se isso parece exigente demais, a EJUP não é para você.”</w:t>
      </w:r>
    </w:p>
    <w:p>
      <w:pPr>
        <w:pStyle w:val="Heading1"/>
        <w:pBdr>
          <w:bottom w:val="single" w:color="F0B855" w:sz="6" w:space="8"/>
        </w:pBdr>
        <w:spacing w:after="200" w:before="480"/>
      </w:pPr>
      <w:r>
        <w:rPr>
          <w:rFonts w:ascii="Montserrat" w:cs="Montserrat" w:eastAsia="Montserrat" w:hAnsi="Montserrat"/>
          <w:b/>
          <w:bCs/>
          <w:color w:val="031C37"/>
          <w:sz w:val="30"/>
          <w:szCs w:val="30"/>
        </w:rPr>
        <w:t xml:space="preserve">Oferta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304557"/>
          <w:sz w:val="22"/>
          <w:szCs w:val="22"/>
        </w:rPr>
        <w:t xml:space="preserve">O que vende</w:t>
      </w:r>
    </w:p>
    <w:p>
      <w:pPr>
        <w:spacing w:after="16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Formação jurídica de alto nível — cursos, imersões e conteúdo do EJUPcast — estruturada em três pilares que orientam curadoria de curso, conteúdo e convidado: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Direito — a base jurídica: norma, doutrina, jurisprudência e controvérsia examinadas por dentro. Sustenta os outros dois pilares.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Negócios e inovação — o Direito operando por fora: mercados, empresas, políticas públicas, orçamento, tecnologia e regulação.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Power skills — o que decide o alcance real de um jurista: negociação, mediação, posicionamento profissional e construção de relacionamento.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304557"/>
          <w:sz w:val="22"/>
          <w:szCs w:val="22"/>
        </w:rPr>
        <w:t xml:space="preserve">A dor que resolve</w:t>
      </w:r>
    </w:p>
    <w:p>
      <w:pPr>
        <w:spacing w:after="16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A cultura da superficialidade acelerada no Direito: aprendizado virado consumo, autoridade confundida com exposição, atalho vendido como método. O jurista sério fica preso à falsa escolha entre gritar para ser visto ou desaparecer sendo profundo.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304557"/>
          <w:sz w:val="22"/>
          <w:szCs w:val="22"/>
        </w:rPr>
        <w:t xml:space="preserve">O que o cliente quer</w:t>
      </w:r>
    </w:p>
    <w:p>
      <w:pPr>
        <w:spacing w:after="16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Continuar sendo profundo, legítimo e ético em um mundo acelerado, digital e ruidoso, sem se perder nem se diluir. Em termos simbólicos: a licença para existir com profundidade num ambiente que penaliza o pensamento profundo — a história que passa a contar sobre si mesmo é a de alguém que não precisa correr para parecer atual, nem simplificar para ser compreendido.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304557"/>
          <w:sz w:val="22"/>
          <w:szCs w:val="22"/>
        </w:rPr>
        <w:t xml:space="preserve">O diferencial</w:t>
      </w:r>
    </w:p>
    <w:p>
      <w:pPr>
        <w:spacing w:after="16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Profundidade como diferencial competitivo; tradição como vantagem contemporânea. A EJUP não vende velocidade — vende critério. Onde o mercado oferece atalho, a EJUP oferece travessia: refinar critérios, não acumular técnicas.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304557"/>
          <w:sz w:val="22"/>
          <w:szCs w:val="22"/>
        </w:rPr>
        <w:t xml:space="preserve">Pode falar preço?</w:t>
      </w:r>
    </w:p>
    <w:p>
      <w:pPr>
        <w:spacing w:after="16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Não há política de preço definida neste dossiê. Evitar qualquer menção a desconto agressivo ou contador de urgência associado a valor — contraria diretamente a regra-mãe da marca ("a EJUP não grita").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304557"/>
          <w:sz w:val="22"/>
          <w:szCs w:val="22"/>
        </w:rPr>
        <w:t xml:space="preserve">Provas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EJUPcast — formato de conversa em estúdio; convidados sempre mapeados por um dos três pilares antes de qualquer pergunta de pauta.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Episódio 16 — Maria Luísa Serquiz, VP da CDL Natal, usado como material de referência: "O problema não é falta. É desconexão."</w:t>
      </w:r>
    </w:p>
    <w:p>
      <w:pPr>
        <w:pStyle w:val="Heading1"/>
        <w:pBdr>
          <w:bottom w:val="single" w:color="F0B855" w:sz="6" w:space="8"/>
        </w:pBdr>
        <w:spacing w:after="200" w:before="480"/>
      </w:pPr>
      <w:r>
        <w:rPr>
          <w:rFonts w:ascii="Montserrat" w:cs="Montserrat" w:eastAsia="Montserrat" w:hAnsi="Montserrat"/>
          <w:b/>
          <w:bCs/>
          <w:color w:val="031C37"/>
          <w:sz w:val="30"/>
          <w:szCs w:val="30"/>
        </w:rPr>
        <w:t xml:space="preserve">Pessoas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304557"/>
          <w:sz w:val="22"/>
          <w:szCs w:val="22"/>
        </w:rPr>
        <w:t xml:space="preserve">Quem aparece</w:t>
      </w:r>
    </w:p>
    <w:p>
      <w:pPr>
        <w:spacing w:after="16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Sócios e educadores da EJUP conduzem e assinam o conteúdo institucional. Convidados do EJUPcast são sempre pesquisados e enquadrados a partir do pilar que representam antes de qualquer roteiro de pergunta.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Roberto Pivotto — sócio.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Dr. Jarbas Bezerra — sócio, juiz educador. Objetos de sua biografia (como o martelo) podem aparecer quando são fato biográfico, não decoração.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304557"/>
          <w:sz w:val="22"/>
          <w:szCs w:val="22"/>
        </w:rPr>
        <w:t xml:space="preserve">Quem assina</w:t>
      </w:r>
    </w:p>
    <w:p>
      <w:pPr>
        <w:spacing w:after="16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A marca EJUP assina institucionalmente o conteúdo. Fala em primeira pessoa do plural para afirmar convicção e em terceira pessoa para descrever fatos — nunca em tom de autopromoção superlativa.</w:t>
      </w:r>
    </w:p>
    <w:p>
      <w:pPr>
        <w:pStyle w:val="Heading1"/>
        <w:pBdr>
          <w:bottom w:val="single" w:color="F0B855" w:sz="6" w:space="8"/>
        </w:pBdr>
        <w:spacing w:after="200" w:before="480"/>
      </w:pPr>
      <w:r>
        <w:rPr>
          <w:rFonts w:ascii="Montserrat" w:cs="Montserrat" w:eastAsia="Montserrat" w:hAnsi="Montserrat"/>
          <w:b/>
          <w:bCs/>
          <w:color w:val="031C37"/>
          <w:sz w:val="30"/>
          <w:szCs w:val="30"/>
        </w:rPr>
        <w:t xml:space="preserve">Visual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304557"/>
          <w:sz w:val="22"/>
          <w:szCs w:val="22"/>
        </w:rPr>
        <w:t xml:space="preserve">Paleta — estritamente as 8 cores do MIV</w:t>
      </w:r>
    </w:p>
    <w:p>
      <w:pPr>
        <w:spacing w:after="16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Nenhuma cor fora desta lista deve ser usada. Tons intermediários resolvem-se com opacidade da prata (tints), nunca com cor nova.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4200"/>
      </w:tblGrid>
      <w:tr>
        <w:tc>
          <w:tcPr>
            <w:tcW w:type="dxa" w:w="0"/>
            <w:shd w:fill="031C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  <w:tc>
          <w:tcPr>
            <w:tcW w:type="dxa" w:w="0"/>
            <w:shd w:fill="031C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0"/>
            <w:shd w:fill="031C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Amostra</w:t>
            </w:r>
          </w:p>
        </w:tc>
        <w:tc>
          <w:tcPr>
            <w:tcW w:type="dxa" w:w="0"/>
            <w:shd w:fill="031C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Papel na marca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414042"/>
                <w:sz w:val="19"/>
                <w:szCs w:val="19"/>
              </w:rPr>
              <w:t xml:space="preserve">Tinta (ink)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6062"/>
                <w:sz w:val="19"/>
                <w:szCs w:val="19"/>
              </w:rPr>
              <w:t xml:space="preserve">#0D131A</w:t>
            </w:r>
          </w:p>
        </w:tc>
        <w:tc>
          <w:tcPr>
            <w:tcW w:type="dxa" w:w="1600"/>
            <w:shd w:fill="0D131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FFFFFF"/>
                <w:sz w:val="19"/>
                <w:szCs w:val="19"/>
              </w:rPr>
              <w:t xml:space="preserve"> 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414042"/>
                <w:sz w:val="19"/>
                <w:szCs w:val="19"/>
              </w:rPr>
              <w:t xml:space="preserve">Fundo profundo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414042"/>
                <w:sz w:val="19"/>
                <w:szCs w:val="19"/>
              </w:rPr>
              <w:t xml:space="preserve">Azul EJUP (navy)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6062"/>
                <w:sz w:val="19"/>
                <w:szCs w:val="19"/>
              </w:rPr>
              <w:t xml:space="preserve">#031C37</w:t>
            </w:r>
          </w:p>
        </w:tc>
        <w:tc>
          <w:tcPr>
            <w:tcW w:type="dxa" w:w="1600"/>
            <w:shd w:fill="031C3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FFFFFF"/>
                <w:sz w:val="19"/>
                <w:szCs w:val="19"/>
              </w:rPr>
              <w:t xml:space="preserve"> 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414042"/>
                <w:sz w:val="19"/>
                <w:szCs w:val="19"/>
              </w:rPr>
              <w:t xml:space="preserve">Primária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414042"/>
                <w:sz w:val="19"/>
                <w:szCs w:val="19"/>
              </w:rPr>
              <w:t xml:space="preserve">Grafite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6062"/>
                <w:sz w:val="19"/>
                <w:szCs w:val="19"/>
              </w:rPr>
              <w:t xml:space="preserve">#414042</w:t>
            </w:r>
          </w:p>
        </w:tc>
        <w:tc>
          <w:tcPr>
            <w:tcW w:type="dxa" w:w="1600"/>
            <w:shd w:fill="41404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FFFFFF"/>
                <w:sz w:val="19"/>
                <w:szCs w:val="19"/>
              </w:rPr>
              <w:t xml:space="preserve"> 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414042"/>
                <w:sz w:val="19"/>
                <w:szCs w:val="19"/>
              </w:rPr>
              <w:t xml:space="preserve">Texto de corpo (sobre claro)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414042"/>
                <w:sz w:val="19"/>
                <w:szCs w:val="19"/>
              </w:rPr>
              <w:t xml:space="preserve">Aço (steel)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6062"/>
                <w:sz w:val="19"/>
                <w:szCs w:val="19"/>
              </w:rPr>
              <w:t xml:space="preserve">#304557</w:t>
            </w:r>
          </w:p>
        </w:tc>
        <w:tc>
          <w:tcPr>
            <w:tcW w:type="dxa" w:w="1600"/>
            <w:shd w:fill="3045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FFFFFF"/>
                <w:sz w:val="19"/>
                <w:szCs w:val="19"/>
              </w:rPr>
              <w:t xml:space="preserve"> 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414042"/>
                <w:sz w:val="19"/>
                <w:szCs w:val="19"/>
              </w:rPr>
              <w:t xml:space="preserve">Secundária / superfícies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414042"/>
                <w:sz w:val="19"/>
                <w:szCs w:val="19"/>
              </w:rPr>
              <w:t xml:space="preserve">Cinza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6062"/>
                <w:sz w:val="19"/>
                <w:szCs w:val="19"/>
              </w:rPr>
              <w:t xml:space="preserve">#5F6062</w:t>
            </w:r>
          </w:p>
        </w:tc>
        <w:tc>
          <w:tcPr>
            <w:tcW w:type="dxa" w:w="1600"/>
            <w:shd w:fill="5F606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FFFFFF"/>
                <w:sz w:val="19"/>
                <w:szCs w:val="19"/>
              </w:rPr>
              <w:t xml:space="preserve"> 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414042"/>
                <w:sz w:val="19"/>
                <w:szCs w:val="19"/>
              </w:rPr>
              <w:t xml:space="preserve">Texto de apoio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414042"/>
                <w:sz w:val="19"/>
                <w:szCs w:val="19"/>
              </w:rPr>
              <w:t xml:space="preserve">Prata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6062"/>
                <w:sz w:val="19"/>
                <w:szCs w:val="19"/>
              </w:rPr>
              <w:t xml:space="preserve">#D1D3D4</w:t>
            </w:r>
          </w:p>
        </w:tc>
        <w:tc>
          <w:tcPr>
            <w:tcW w:type="dxa" w:w="1600"/>
            <w:shd w:fill="D1D3D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414042"/>
                <w:sz w:val="19"/>
                <w:szCs w:val="19"/>
              </w:rPr>
              <w:t xml:space="preserve"> 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414042"/>
                <w:sz w:val="19"/>
                <w:szCs w:val="19"/>
              </w:rPr>
              <w:t xml:space="preserve">Bordas, superfícies — nunca texto sobre claro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414042"/>
                <w:sz w:val="19"/>
                <w:szCs w:val="19"/>
              </w:rPr>
              <w:t xml:space="preserve">Bronze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6062"/>
                <w:sz w:val="19"/>
                <w:szCs w:val="19"/>
              </w:rPr>
              <w:t xml:space="preserve">#9B6B26</w:t>
            </w:r>
          </w:p>
        </w:tc>
        <w:tc>
          <w:tcPr>
            <w:tcW w:type="dxa" w:w="1600"/>
            <w:shd w:fill="9B6B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FFFFFF"/>
                <w:sz w:val="19"/>
                <w:szCs w:val="19"/>
              </w:rPr>
              <w:t xml:space="preserve"> 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414042"/>
                <w:sz w:val="19"/>
                <w:szCs w:val="19"/>
              </w:rPr>
              <w:t xml:space="preserve">Acento sobre fundo claro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414042"/>
                <w:sz w:val="19"/>
                <w:szCs w:val="19"/>
              </w:rPr>
              <w:t xml:space="preserve">Dourado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6062"/>
                <w:sz w:val="19"/>
                <w:szCs w:val="19"/>
              </w:rPr>
              <w:t xml:space="preserve">#F0B855</w:t>
            </w:r>
          </w:p>
        </w:tc>
        <w:tc>
          <w:tcPr>
            <w:tcW w:type="dxa" w:w="1600"/>
            <w:shd w:fill="F0B85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031C37"/>
                <w:sz w:val="19"/>
                <w:szCs w:val="19"/>
              </w:rPr>
              <w:t xml:space="preserve"> 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414042"/>
                <w:sz w:val="19"/>
                <w:szCs w:val="19"/>
              </w:rPr>
              <w:t xml:space="preserve">Acento sobre fundo escuro (raro)</w:t>
            </w:r>
          </w:p>
        </w:tc>
      </w:tr>
    </w:tbl>
    <w:p>
      <w:pPr>
        <w:spacing w:before="260"/>
      </w:pP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304557"/>
          <w:sz w:val="22"/>
          <w:szCs w:val="22"/>
        </w:rPr>
        <w:t xml:space="preserve">Regra de contraste (acessibilidade, não estética)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Dourado sobre navy → 9,5:1. Uso correto.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Dourado sobre branco → 1,8:1. Nunca em texto.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Bronze sobre branco → 4,6:1. É o "dourado" do fundo claro.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Prata sobre branco → 1,5:1. Só borda ou superfície — nunca texto.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304557"/>
          <w:sz w:val="22"/>
          <w:szCs w:val="22"/>
        </w:rPr>
        <w:t xml:space="preserve">Tipografia</w:t>
      </w:r>
    </w:p>
    <w:p>
      <w:pPr>
        <w:spacing w:after="16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Família única: Gotham (fallback Montserrat → system-ui).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Display / títulos: Black 900, tracking negativo (-0,02 a -0,025em), leading apertado (1.02–1.1).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Corpo e leads: Light 300 — o respiro é assinatura da marca. Nunca corpo em Bold.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Eyebrow / rótulo: Medium 500, CAIXA ALTA, tracking 0,14em, 11–12px. É o gesto tipográfico mais reconhecível da marca.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304557"/>
          <w:sz w:val="22"/>
          <w:szCs w:val="22"/>
        </w:rPr>
        <w:t xml:space="preserve">Regras do logo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Composição símbolo + logotipo, usáveis juntos ou separados. Aplicação horizontal é prioritária.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Área de não interferência: margem de 2X em todos os lados, onde X = largura da haste do "j". Nada entra aí.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Redução máxima: 25 mm de largura. Abaixo disso, exige prova de legibilidade.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Contraste máximo sempre: tom mais escuro sobre o mais claro, ou o mais claro sobre o mais escuro. Proibido tom médio sobre fundo de luminosidade próxima.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Cor institucional padrão do logotipo: navy #031C37.</w:t>
      </w:r>
    </w:p>
    <w:p>
      <w:pPr>
        <w:pStyle w:val="Heading1"/>
        <w:pBdr>
          <w:bottom w:val="single" w:color="F0B855" w:sz="6" w:space="8"/>
        </w:pBdr>
        <w:spacing w:after="200" w:before="480"/>
      </w:pPr>
      <w:r>
        <w:rPr>
          <w:rFonts w:ascii="Montserrat" w:cs="Montserrat" w:eastAsia="Montserrat" w:hAnsi="Montserrat"/>
          <w:b/>
          <w:bCs/>
          <w:color w:val="031C37"/>
          <w:sz w:val="30"/>
          <w:szCs w:val="30"/>
        </w:rPr>
        <w:t xml:space="preserve">Referências visuais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304557"/>
          <w:sz w:val="22"/>
          <w:szCs w:val="22"/>
        </w:rPr>
        <w:t xml:space="preserve">O que é a cara da marca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Livros usados e anotados, bibliotecas, escrita e leitura concentrada — nunca cenográfico.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Arquitetura clássica reinterpretada: pedra, simetria, arcos, colunas — depurados e abstratos.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Xadrez e símbolos de estratégia, sugerindo processo e reflexão — nunca vitória imediata.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Espaços institucionais de debate (tribunas, auditórios, mesas) como construção coletiva.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Toga e símbolos do Direito, com parcimônia e contexto real — nunca ostentação.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Geometria, grids e precisão gráfica: o contemporâneo como organização e clareza, não futurismo.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Silêncio produtivo: espaço vazio é conteúdo, não desperdício.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304557"/>
          <w:sz w:val="22"/>
          <w:szCs w:val="22"/>
        </w:rPr>
        <w:t xml:space="preserve">O que nunca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Estética futurista genérica, HUD sci-fi, circuitos, "IA cerebral azul brilhante".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Ostentação: carro, relógio, dinheiro, escritório de vidro com pose de sucesso.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Stock photo sorridente de aperto de mão, martelo de juiz genérico, balança clichê.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Nostalgia fetichizada: pergaminho, pena de escrever, sépia.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Excesso de estímulo: cor saturada fora da paleta, corte rápido, texto piscando.</w:t>
      </w:r>
    </w:p>
    <w:p>
      <w:pPr>
        <w:pStyle w:val="Heading1"/>
        <w:pBdr>
          <w:bottom w:val="single" w:color="F0B855" w:sz="6" w:space="8"/>
        </w:pBdr>
        <w:spacing w:after="200" w:before="480"/>
      </w:pPr>
      <w:r>
        <w:rPr>
          <w:rFonts w:ascii="Montserrat" w:cs="Montserrat" w:eastAsia="Montserrat" w:hAnsi="Montserrat"/>
          <w:b/>
          <w:bCs/>
          <w:color w:val="031C37"/>
          <w:sz w:val="30"/>
          <w:szCs w:val="30"/>
        </w:rPr>
        <w:t xml:space="preserve">Restrições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304557"/>
          <w:sz w:val="22"/>
          <w:szCs w:val="22"/>
        </w:rPr>
        <w:t xml:space="preserve">Jurídico</w:t>
      </w:r>
    </w:p>
    <w:p>
      <w:pPr>
        <w:spacing w:after="16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Este dossiê não constitui parecer jurídico nem substitui revisão de compliance específica de cada peça. Qualquer menção a resultado processual, garantia de aprovação em exame ou promessa de desfecho jurídico deve ser revisada antes da publicação — o conteúdo educacional da EJUP não pode ser lido como consultoria jurídica individual.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304557"/>
          <w:sz w:val="22"/>
          <w:szCs w:val="22"/>
        </w:rPr>
        <w:t xml:space="preserve">Compliance</w:t>
      </w:r>
    </w:p>
    <w:p>
      <w:pPr>
        <w:spacing w:after="16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414042"/>
          <w:sz w:val="21"/>
          <w:szCs w:val="21"/>
        </w:rPr>
        <w:t xml:space="preserve">Peças que envolvam preço, desconto ou condição comercial devem respeitar a regra-mãe da marca: nenhuma urgência artificial, nenhum contador regressivo como argumento central. Toda peça nova passa pelo checklist do guardião da marca (inimigo, anti-público, arquétipo, autoridade demonstrada e não declarada, paleta, tipografia, área de não interferência do logo, mapa imagético, silêncio) antes de ser aprovada para publicação.</w:t>
      </w:r>
    </w:p>
    <w:p>
      <w:r>
        <w:br w:type="page"/>
      </w:r>
    </w:p>
    <w:p>
      <w:pPr>
        <w:spacing w:before="3000"/>
        <w:jc w:val="center"/>
      </w:pPr>
      <w:r>
        <w:rPr>
          <w:rFonts w:ascii="Montserrat" w:cs="Montserrat" w:eastAsia="Montserrat" w:hAnsi="Montserrat"/>
          <w:b/>
          <w:bCs/>
          <w:color w:val="031C37"/>
          <w:sz w:val="40"/>
          <w:szCs w:val="40"/>
        </w:rPr>
        <w:t xml:space="preserve">EJUP</w:t>
      </w:r>
    </w:p>
    <w:p>
      <w:pPr>
        <w:spacing w:before="120"/>
        <w:jc w:val="center"/>
      </w:pPr>
      <w:r>
        <w:rPr>
          <w:rFonts w:ascii="Montserrat" w:cs="Montserrat" w:eastAsia="Montserrat" w:hAnsi="Montserrat"/>
          <w:i/>
          <w:iCs/>
          <w:color w:val="5F6062"/>
          <w:sz w:val="20"/>
          <w:szCs w:val="20"/>
        </w:rPr>
        <w:t xml:space="preserve">Alma clássica, repertório contemporâneo.</w:t>
      </w:r>
    </w:p>
    <w:p>
      <w:pPr>
        <w:spacing w:before="400"/>
        <w:jc w:val="center"/>
      </w:pPr>
      <w:r>
        <w:rPr>
          <w:rFonts w:ascii="Montserrat" w:cs="Montserrat" w:eastAsia="Montserrat" w:hAnsi="Montserrat"/>
          <w:color w:val="5F6062"/>
          <w:sz w:val="16"/>
          <w:szCs w:val="16"/>
        </w:rPr>
        <w:t xml:space="preserve">contato@ejup.com.br  ·  85 9 9271.4050</w:t>
      </w:r>
    </w:p>
    <w:sectPr>
      <w:headerReference w:type="default" r:id="rId7"/>
      <w:footerReference w:type="default" r:id="rId8"/>
      <w:pgSz w:w="11907" w:h="16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i/>
        <w:iCs/>
        <w:color w:val="5F6062"/>
        <w:sz w:val="15"/>
        <w:szCs w:val="15"/>
      </w:rPr>
      <w:t xml:space="preserve">Alma clássica, repertório contemporâneo.  ·  </w:t>
    </w:r>
    <w:r>
      <w:rPr>
        <w:rFonts w:ascii="Montserrat" w:cs="Montserrat" w:eastAsia="Montserrat" w:hAnsi="Montserrat"/>
        <w:color w:val="5F6062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3D4" w:sz="4" w:space="4"/>
      </w:pBdr>
      <w:jc w:val="right"/>
    </w:pPr>
    <w:r>
      <w:rPr>
        <w:rFonts w:ascii="Montserrat" w:cs="Montserrat" w:eastAsia="Montserrat" w:hAnsi="Montserrat"/>
        <w:color w:val="5F6062"/>
        <w:spacing w:val="10"/>
        <w:sz w:val="16"/>
        <w:szCs w:val="16"/>
      </w:rPr>
      <w:t xml:space="preserve">EJUP · Dossiê da Marca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3" w:hanging="259"/>
      </w:pPr>
      <w:rPr>
        <w:rFonts w:ascii="Montserrat" w:cs="Montserrat" w:eastAsia="Montserrat" w:hAnsi="Montserrat"/>
        <w:color w:val="F0B8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2026-09-03T15:47:07.278Z</dcterms:created>
  <dcterms:modified xsi:type="dcterms:W3CDTF">2026-09-03T15:47:07.279Z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