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B851" w14:textId="77777777" w:rsidR="00BF6415" w:rsidRDefault="00BF6415" w:rsidP="00BF6415">
      <w:pPr>
        <w:pStyle w:val="Heading1"/>
      </w:pPr>
      <w:r>
        <w:t>Abstract</w:t>
      </w:r>
    </w:p>
    <w:p w14:paraId="58472897" w14:textId="76F71DA2" w:rsidR="00567559" w:rsidRDefault="00BF6415" w:rsidP="00BF6415">
      <w:pPr>
        <w:pStyle w:val="FirstParagraph"/>
      </w:pPr>
      <w:r>
        <w:t xml:space="preserve">Language comprehension often requires making </w:t>
      </w:r>
      <w:r>
        <w:rPr>
          <w:i/>
        </w:rPr>
        <w:t>implicatures</w:t>
      </w:r>
      <w:r>
        <w:t xml:space="preserve">. For example, inferring that “I ate some of the cookies” implicates the speaker ate some </w:t>
      </w:r>
      <w:r>
        <w:rPr>
          <w:i/>
        </w:rPr>
        <w:t>but not all</w:t>
      </w:r>
      <w:r>
        <w:t xml:space="preserve"> (scalar implicatures); and “I ate the chocolate-chip cookies” where there are both chocolate chip cookies and raisin cookies in the context implicates that the speaker ate the chocolate chip, but </w:t>
      </w:r>
      <w:r>
        <w:rPr>
          <w:i/>
        </w:rPr>
        <w:t>not both the chocolate chip and raisin cookies</w:t>
      </w:r>
      <w:r>
        <w:t xml:space="preserve"> (ad-hoc implicatures). Children’s ability to make scalar implicatures develops around age five, with ad-hoc implicatures emerging somewhat earlier. In the current work, using a time-sensitive tablet paradigm, we examined developmental gains in children’s ad-hoc implicature processing, and </w:t>
      </w:r>
      <w:r w:rsidR="000004FE" w:rsidRPr="000004FE">
        <w:t>found evidence for successful pragmatic inferences by children</w:t>
      </w:r>
      <w:r w:rsidR="000004FE">
        <w:t xml:space="preserve"> </w:t>
      </w:r>
      <w:r>
        <w:t xml:space="preserve">as young as 3 years in a supportive context and substantial developmental gains in </w:t>
      </w:r>
      <w:r w:rsidR="004F2ACD" w:rsidRPr="004F2ACD">
        <w:t>inference</w:t>
      </w:r>
      <w:r w:rsidR="004F2ACD">
        <w:t xml:space="preserve"> </w:t>
      </w:r>
      <w:r>
        <w:t>computation from 2 to 5 years. We also tested whether one cause of younger children (2-year-olds)’s consistent failure to m</w:t>
      </w:r>
      <w:bookmarkStart w:id="0" w:name="_GoBack"/>
      <w:bookmarkEnd w:id="0"/>
      <w:r>
        <w:t xml:space="preserve">ake </w:t>
      </w:r>
      <w:r w:rsidR="004F2ACD" w:rsidRPr="004F2ACD">
        <w:t>pragmatic inferences</w:t>
      </w:r>
      <w:r w:rsidR="004F2ACD">
        <w:t xml:space="preserve"> </w:t>
      </w:r>
      <w:r>
        <w:t xml:space="preserve">is their difficulty in inhibiting an alternative interpretation that is more salient than the target meaning (the </w:t>
      </w:r>
      <w:r>
        <w:rPr>
          <w:i/>
        </w:rPr>
        <w:t>salience hypothesis</w:t>
      </w:r>
      <w:r>
        <w:t xml:space="preserve">). </w:t>
      </w:r>
      <w:r w:rsidR="004F2ACD" w:rsidRPr="004F2ACD">
        <w:t>Our findings supported this hypothesis: Younger children’s failures with pragmatic inferences were related to effects of the salience mismatch between possible interpretations.</w:t>
      </w:r>
    </w:p>
    <w:sectPr w:rsidR="0056755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15"/>
    <w:rsid w:val="000004FE"/>
    <w:rsid w:val="00134BD2"/>
    <w:rsid w:val="004D6F3C"/>
    <w:rsid w:val="004F2ACD"/>
    <w:rsid w:val="009F7F8A"/>
    <w:rsid w:val="00B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6E142"/>
  <w14:defaultImageDpi w14:val="32767"/>
  <w15:chartTrackingRefBased/>
  <w15:docId w15:val="{6D0A1D36-CCBD-A84F-97DE-135C660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F6415"/>
    <w:pPr>
      <w:keepNext/>
      <w:keepLines/>
      <w:spacing w:before="48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15"/>
    <w:rPr>
      <w:rFonts w:ascii="Times New Roman" w:eastAsiaTheme="majorEastAsia" w:hAnsi="Times New Roman" w:cstheme="majorBidi"/>
      <w:b/>
      <w:bCs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BF6415"/>
    <w:pPr>
      <w:spacing w:before="180" w:after="240" w:line="480" w:lineRule="auto"/>
      <w:ind w:firstLine="680"/>
    </w:pPr>
    <w:rPr>
      <w:rFonts w:ascii="Times New Roman" w:eastAsiaTheme="minorHAnsi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BF6415"/>
    <w:rPr>
      <w:rFonts w:ascii="Times New Roman" w:eastAsiaTheme="minorHAnsi" w:hAnsi="Times New Roman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F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3</cp:revision>
  <dcterms:created xsi:type="dcterms:W3CDTF">2018-12-28T05:12:00Z</dcterms:created>
  <dcterms:modified xsi:type="dcterms:W3CDTF">2019-04-09T22:14:00Z</dcterms:modified>
</cp:coreProperties>
</file>